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C02B3" w14:textId="56796A1B" w:rsidR="00661F21" w:rsidRPr="00342605" w:rsidRDefault="00295B59" w:rsidP="00342605">
      <w:pPr>
        <w:bidi/>
        <w:jc w:val="center"/>
        <w:rPr>
          <w:rFonts w:eastAsia="Times New Roman" w:cstheme="minorHAnsi"/>
          <w:b/>
          <w:bCs/>
          <w:color w:val="4472C4" w:themeColor="accent1"/>
          <w:sz w:val="28"/>
          <w:szCs w:val="28"/>
          <w:rtl/>
        </w:rPr>
      </w:pPr>
      <w:r w:rsidRPr="00D45DC9">
        <w:rPr>
          <w:rFonts w:eastAsia="Times New Roman" w:cstheme="minorHAnsi"/>
          <w:b/>
          <w:bCs/>
          <w:color w:val="4472C4" w:themeColor="accent1"/>
          <w:sz w:val="28"/>
          <w:szCs w:val="28"/>
          <w:rtl/>
        </w:rPr>
        <w:t xml:space="preserve">تراجع الالتزام بمعاهدة تجارة الأسلحة على </w:t>
      </w:r>
      <w:r w:rsidR="00702239" w:rsidRPr="00D45DC9">
        <w:rPr>
          <w:rFonts w:eastAsia="Times New Roman" w:cstheme="minorHAnsi"/>
          <w:b/>
          <w:bCs/>
          <w:color w:val="4472C4" w:themeColor="accent1"/>
          <w:sz w:val="28"/>
          <w:szCs w:val="28"/>
          <w:rtl/>
        </w:rPr>
        <w:t xml:space="preserve">في المنطقة العربية </w:t>
      </w:r>
    </w:p>
    <w:p w14:paraId="63D0AE0E" w14:textId="7E5014D4" w:rsidR="00827B08" w:rsidRPr="00D45DC9" w:rsidRDefault="00827B08" w:rsidP="00661F21">
      <w:pPr>
        <w:bidi/>
        <w:jc w:val="both"/>
        <w:rPr>
          <w:rFonts w:cstheme="minorHAnsi"/>
          <w:color w:val="000000" w:themeColor="text1"/>
          <w:sz w:val="28"/>
          <w:szCs w:val="28"/>
          <w:rtl/>
        </w:rPr>
      </w:pPr>
      <w:r w:rsidRPr="00D45DC9">
        <w:rPr>
          <w:rFonts w:cstheme="minorHAnsi"/>
          <w:color w:val="000000" w:themeColor="text1"/>
          <w:sz w:val="28"/>
          <w:szCs w:val="28"/>
          <w:rtl/>
        </w:rPr>
        <w:t xml:space="preserve">تُغذّي عمليات نقل الأسلحة غير المسؤولة انتهاكات القانون الدولي الإنساني لاسيما جرائم الحرب والجرائم ضد الإنسانية، بالأخص في مناطق الصراعات والنزاعات المُسلحة، بما في ذلك الأراضي الفلسطينية المحتلة والسودان، وسوريا. </w:t>
      </w:r>
    </w:p>
    <w:p w14:paraId="12F943E6" w14:textId="79620603" w:rsidR="000D7963" w:rsidRPr="00D45DC9" w:rsidRDefault="00661F21" w:rsidP="00661F21">
      <w:pPr>
        <w:bidi/>
        <w:spacing w:after="160" w:line="259" w:lineRule="auto"/>
        <w:jc w:val="both"/>
        <w:rPr>
          <w:rFonts w:cstheme="minorHAnsi"/>
          <w:color w:val="000000" w:themeColor="text1"/>
          <w:sz w:val="28"/>
          <w:szCs w:val="28"/>
          <w:rtl/>
        </w:rPr>
      </w:pPr>
      <w:r>
        <w:rPr>
          <w:rFonts w:cstheme="minorHAnsi" w:hint="cs"/>
          <w:color w:val="000000" w:themeColor="text1"/>
          <w:sz w:val="28"/>
          <w:szCs w:val="28"/>
          <w:rtl/>
        </w:rPr>
        <w:t>و</w:t>
      </w:r>
      <w:r w:rsidR="00B142F8" w:rsidRPr="00D45DC9">
        <w:rPr>
          <w:rFonts w:cstheme="minorHAnsi"/>
          <w:color w:val="000000" w:themeColor="text1"/>
          <w:sz w:val="28"/>
          <w:szCs w:val="28"/>
          <w:rtl/>
        </w:rPr>
        <w:t xml:space="preserve">في هذا الإطار، </w:t>
      </w:r>
      <w:r>
        <w:rPr>
          <w:rFonts w:cstheme="minorHAnsi" w:hint="cs"/>
          <w:color w:val="000000" w:themeColor="text1"/>
          <w:sz w:val="28"/>
          <w:szCs w:val="28"/>
          <w:rtl/>
        </w:rPr>
        <w:t xml:space="preserve">يجب الاشارة ان </w:t>
      </w:r>
      <w:r w:rsidR="000D7963" w:rsidRPr="00D45DC9">
        <w:rPr>
          <w:rFonts w:cstheme="minorHAnsi"/>
          <w:color w:val="000000" w:themeColor="text1"/>
          <w:sz w:val="28"/>
          <w:szCs w:val="28"/>
          <w:rtl/>
        </w:rPr>
        <w:t>الدول الأطراف في معاهدة تجارة الأسلحة، وكذلك الدول الموقعة عليها مثل الولايات المتحدة الأمريكية وبعض الدول الأوروبية</w:t>
      </w:r>
      <w:r w:rsidR="000D7963" w:rsidRPr="00D45DC9">
        <w:rPr>
          <w:rFonts w:cstheme="minorHAnsi"/>
          <w:sz w:val="28"/>
          <w:szCs w:val="28"/>
          <w:rtl/>
        </w:rPr>
        <w:t xml:space="preserve"> </w:t>
      </w:r>
      <w:r>
        <w:rPr>
          <w:rFonts w:cstheme="minorHAnsi" w:hint="cs"/>
          <w:sz w:val="28"/>
          <w:szCs w:val="28"/>
          <w:rtl/>
        </w:rPr>
        <w:t xml:space="preserve">تواصل </w:t>
      </w:r>
      <w:r w:rsidR="000D7963" w:rsidRPr="00D45DC9">
        <w:rPr>
          <w:rFonts w:cstheme="minorHAnsi"/>
          <w:sz w:val="28"/>
          <w:szCs w:val="28"/>
          <w:rtl/>
        </w:rPr>
        <w:t xml:space="preserve">نقلها للمعدات العسكرية والذخائر إلى قوات الاحتلال الإسرائيلي على الرغم من الأدلة الواضحة على </w:t>
      </w:r>
      <w:r w:rsidR="000D7963" w:rsidRPr="00661F21">
        <w:rPr>
          <w:rFonts w:cstheme="minorHAnsi"/>
          <w:sz w:val="28"/>
          <w:szCs w:val="28"/>
          <w:rtl/>
        </w:rPr>
        <w:t xml:space="preserve">جرائمها في قتل المدنيين والهجمات العشوائية على الأعيان المدنية </w:t>
      </w:r>
      <w:r w:rsidR="000D7963" w:rsidRPr="00D45DC9">
        <w:rPr>
          <w:rFonts w:cstheme="minorHAnsi"/>
          <w:sz w:val="28"/>
          <w:szCs w:val="28"/>
          <w:rtl/>
        </w:rPr>
        <w:t xml:space="preserve">التي تٌعتبر جرائم للحرب، </w:t>
      </w:r>
      <w:r w:rsidR="00B142F8" w:rsidRPr="00D45DC9">
        <w:rPr>
          <w:rFonts w:cstheme="minorHAnsi"/>
          <w:sz w:val="28"/>
          <w:szCs w:val="28"/>
          <w:rtl/>
        </w:rPr>
        <w:t xml:space="preserve">كما أنها لم تأخذ في الاعتبار </w:t>
      </w:r>
      <w:r w:rsidR="000D7963" w:rsidRPr="00D45DC9">
        <w:rPr>
          <w:rFonts w:cstheme="minorHAnsi"/>
          <w:sz w:val="28"/>
          <w:szCs w:val="28"/>
          <w:rtl/>
        </w:rPr>
        <w:t xml:space="preserve"> إشارة محكمة العدل الدولية إلي احتمالية </w:t>
      </w:r>
      <w:r w:rsidR="000D7963" w:rsidRPr="00D45DC9">
        <w:rPr>
          <w:rFonts w:cstheme="minorHAnsi"/>
          <w:color w:val="000000" w:themeColor="text1"/>
          <w:sz w:val="28"/>
          <w:szCs w:val="28"/>
          <w:rtl/>
        </w:rPr>
        <w:t xml:space="preserve">وقوع إبادة جماعية في غزة، </w:t>
      </w:r>
      <w:r w:rsidR="000D7963" w:rsidRPr="00661F21">
        <w:rPr>
          <w:rFonts w:cstheme="minorHAnsi"/>
          <w:color w:val="000000" w:themeColor="text1"/>
          <w:sz w:val="28"/>
          <w:szCs w:val="28"/>
          <w:rtl/>
        </w:rPr>
        <w:t xml:space="preserve">ويخالف ذلك المادتين </w:t>
      </w:r>
      <w:r w:rsidR="000D7963" w:rsidRPr="00661F21">
        <w:rPr>
          <w:rFonts w:cstheme="minorHAnsi"/>
          <w:sz w:val="28"/>
          <w:szCs w:val="28"/>
        </w:rPr>
        <w:t>6</w:t>
      </w:r>
      <w:r w:rsidR="000D7963" w:rsidRPr="00661F21">
        <w:rPr>
          <w:rFonts w:cstheme="minorHAnsi"/>
          <w:sz w:val="28"/>
          <w:szCs w:val="28"/>
          <w:rtl/>
        </w:rPr>
        <w:t>و</w:t>
      </w:r>
      <w:r w:rsidR="000D7963" w:rsidRPr="00661F21">
        <w:rPr>
          <w:rFonts w:cstheme="minorHAnsi"/>
          <w:sz w:val="28"/>
          <w:szCs w:val="28"/>
        </w:rPr>
        <w:t>7</w:t>
      </w:r>
      <w:r w:rsidR="000D7963" w:rsidRPr="00661F21">
        <w:rPr>
          <w:rFonts w:cstheme="minorHAnsi"/>
          <w:sz w:val="28"/>
          <w:szCs w:val="28"/>
          <w:rtl/>
        </w:rPr>
        <w:t xml:space="preserve"> من معاهدة تجارة الأسلحة</w:t>
      </w:r>
      <w:r w:rsidR="0033092B" w:rsidRPr="00661F21">
        <w:rPr>
          <w:rFonts w:cstheme="minorHAnsi"/>
          <w:sz w:val="28"/>
          <w:szCs w:val="28"/>
          <w:rtl/>
        </w:rPr>
        <w:t xml:space="preserve">، </w:t>
      </w:r>
      <w:r w:rsidRPr="00661F21">
        <w:rPr>
          <w:rFonts w:cstheme="minorHAnsi" w:hint="cs"/>
          <w:sz w:val="28"/>
          <w:szCs w:val="28"/>
          <w:rtl/>
        </w:rPr>
        <w:t>و</w:t>
      </w:r>
      <w:r w:rsidR="0033092B" w:rsidRPr="00661F21">
        <w:rPr>
          <w:rFonts w:cstheme="minorHAnsi"/>
          <w:sz w:val="28"/>
          <w:szCs w:val="28"/>
          <w:rtl/>
        </w:rPr>
        <w:t>الجدير</w:t>
      </w:r>
      <w:r w:rsidR="0033092B" w:rsidRPr="00D45DC9">
        <w:rPr>
          <w:rFonts w:cstheme="minorHAnsi"/>
          <w:sz w:val="28"/>
          <w:szCs w:val="28"/>
          <w:rtl/>
        </w:rPr>
        <w:t xml:space="preserve"> بالذكر أ</w:t>
      </w:r>
      <w:r>
        <w:rPr>
          <w:rFonts w:cstheme="minorHAnsi"/>
          <w:sz w:val="28"/>
          <w:szCs w:val="28"/>
          <w:rtl/>
        </w:rPr>
        <w:t xml:space="preserve">ن هناك أكثر من ٦٢٩٧٥ شخصًا </w:t>
      </w:r>
      <w:r>
        <w:rPr>
          <w:rFonts w:cstheme="minorHAnsi" w:hint="cs"/>
          <w:sz w:val="28"/>
          <w:szCs w:val="28"/>
          <w:rtl/>
        </w:rPr>
        <w:t>قتلوا في هذا</w:t>
      </w:r>
      <w:r w:rsidR="0033092B" w:rsidRPr="00D45DC9">
        <w:rPr>
          <w:rFonts w:cstheme="minorHAnsi"/>
          <w:sz w:val="28"/>
          <w:szCs w:val="28"/>
          <w:rtl/>
        </w:rPr>
        <w:t xml:space="preserve"> النزاع في قطاع غزة من بينهم  ١٨٧٩٢ طفلاً و١٢٤٠٠ أمراه والعدد </w:t>
      </w:r>
      <w:r>
        <w:rPr>
          <w:rFonts w:cstheme="minorHAnsi" w:hint="cs"/>
          <w:sz w:val="28"/>
          <w:szCs w:val="28"/>
          <w:rtl/>
        </w:rPr>
        <w:t xml:space="preserve">في ازدياد. </w:t>
      </w:r>
    </w:p>
    <w:p w14:paraId="634125AA" w14:textId="528FDE3A" w:rsidR="000D7963" w:rsidRPr="00D45DC9" w:rsidRDefault="000D7963" w:rsidP="00661F21">
      <w:pPr>
        <w:bidi/>
        <w:spacing w:after="160" w:line="259" w:lineRule="auto"/>
        <w:jc w:val="both"/>
        <w:rPr>
          <w:rFonts w:cstheme="minorHAnsi"/>
          <w:b/>
          <w:bCs/>
          <w:color w:val="000000" w:themeColor="text1"/>
          <w:sz w:val="28"/>
          <w:szCs w:val="28"/>
        </w:rPr>
      </w:pPr>
      <w:r w:rsidRPr="00D45DC9">
        <w:rPr>
          <w:rFonts w:cstheme="minorHAnsi"/>
          <w:color w:val="000000" w:themeColor="text1"/>
          <w:sz w:val="28"/>
          <w:szCs w:val="28"/>
          <w:rtl/>
        </w:rPr>
        <w:t>وم</w:t>
      </w:r>
      <w:r w:rsidRPr="00D45DC9">
        <w:rPr>
          <w:rFonts w:cstheme="minorHAnsi"/>
          <w:sz w:val="28"/>
          <w:szCs w:val="28"/>
          <w:rtl/>
        </w:rPr>
        <w:t xml:space="preserve">ن بين الدول </w:t>
      </w:r>
      <w:r w:rsidR="00661F21">
        <w:rPr>
          <w:rFonts w:cstheme="minorHAnsi"/>
          <w:sz w:val="28"/>
          <w:szCs w:val="28"/>
          <w:rtl/>
        </w:rPr>
        <w:t>الأوروبية المٌنضمة إلى المعاهدة</w:t>
      </w:r>
      <w:r w:rsidR="00661F21">
        <w:rPr>
          <w:rFonts w:cstheme="minorHAnsi" w:hint="cs"/>
          <w:sz w:val="28"/>
          <w:szCs w:val="28"/>
          <w:rtl/>
        </w:rPr>
        <w:t xml:space="preserve">، وجدت مؤسسة ماعت ان حكومة سلوفينيا فقط </w:t>
      </w:r>
      <w:r w:rsidR="00661F21" w:rsidRPr="00661F21">
        <w:rPr>
          <w:rFonts w:cstheme="minorHAnsi" w:hint="cs"/>
          <w:sz w:val="28"/>
          <w:szCs w:val="28"/>
          <w:rtl/>
        </w:rPr>
        <w:t>هي من حظرت ت</w:t>
      </w:r>
      <w:r w:rsidRPr="00661F21">
        <w:rPr>
          <w:rFonts w:cstheme="minorHAnsi"/>
          <w:sz w:val="28"/>
          <w:szCs w:val="28"/>
          <w:rtl/>
        </w:rPr>
        <w:t>صدير واستيراد وعبور المعدات العسكرية من وإلى إسرائيل</w:t>
      </w:r>
      <w:r w:rsidR="00661F21">
        <w:rPr>
          <w:rFonts w:cstheme="minorHAnsi"/>
          <w:sz w:val="28"/>
          <w:szCs w:val="28"/>
          <w:rtl/>
        </w:rPr>
        <w:t xml:space="preserve"> بشكل كامل</w:t>
      </w:r>
      <w:r w:rsidRPr="00661F21">
        <w:rPr>
          <w:rFonts w:cstheme="minorHAnsi"/>
          <w:sz w:val="28"/>
          <w:szCs w:val="28"/>
          <w:rtl/>
        </w:rPr>
        <w:t>،</w:t>
      </w:r>
      <w:r w:rsidRPr="00D45DC9">
        <w:rPr>
          <w:rFonts w:cstheme="minorHAnsi"/>
          <w:b/>
          <w:bCs/>
          <w:sz w:val="28"/>
          <w:szCs w:val="28"/>
          <w:rtl/>
        </w:rPr>
        <w:t xml:space="preserve"> </w:t>
      </w:r>
      <w:r w:rsidRPr="00661F21">
        <w:rPr>
          <w:rFonts w:cstheme="minorHAnsi"/>
          <w:sz w:val="28"/>
          <w:szCs w:val="28"/>
          <w:rtl/>
        </w:rPr>
        <w:t xml:space="preserve">في حين قامت </w:t>
      </w:r>
      <w:r w:rsidR="00661F21">
        <w:rPr>
          <w:rFonts w:cstheme="minorHAnsi" w:hint="cs"/>
          <w:sz w:val="28"/>
          <w:szCs w:val="28"/>
          <w:rtl/>
        </w:rPr>
        <w:t xml:space="preserve">بعض </w:t>
      </w:r>
      <w:r w:rsidRPr="00661F21">
        <w:rPr>
          <w:rFonts w:cstheme="minorHAnsi"/>
          <w:sz w:val="28"/>
          <w:szCs w:val="28"/>
          <w:rtl/>
        </w:rPr>
        <w:t>الدول الأخرى بحظر جزئي</w:t>
      </w:r>
      <w:r w:rsidRPr="00D45DC9">
        <w:rPr>
          <w:rFonts w:cstheme="minorHAnsi"/>
          <w:b/>
          <w:bCs/>
          <w:sz w:val="28"/>
          <w:szCs w:val="28"/>
          <w:rtl/>
        </w:rPr>
        <w:t xml:space="preserve"> </w:t>
      </w:r>
      <w:r w:rsidRPr="00D45DC9">
        <w:rPr>
          <w:rFonts w:cstheme="minorHAnsi"/>
          <w:sz w:val="28"/>
          <w:szCs w:val="28"/>
          <w:rtl/>
        </w:rPr>
        <w:t>لبعض صادرات الأسلحة إلى قوات الاحتلال الإسرائيلي وهي خطوة جيدة على أي حال، ولكن</w:t>
      </w:r>
      <w:r w:rsidRPr="00661F21">
        <w:rPr>
          <w:rFonts w:cstheme="minorHAnsi"/>
          <w:sz w:val="28"/>
          <w:szCs w:val="28"/>
          <w:rtl/>
        </w:rPr>
        <w:t xml:space="preserve"> تطالب مؤسسة ماعت بضرورة فرض الحظر الكامل على تصدير الأسلحة لقوات الاحتلال الإسرائيلي حتى تتوقف عن عمليات الإبادة الجماعية التي تقوم بها داخل قطاع غزة. </w:t>
      </w:r>
    </w:p>
    <w:p w14:paraId="554EDB73" w14:textId="6A5E7444" w:rsidR="000D7963" w:rsidRPr="00D45DC9" w:rsidRDefault="000D7963" w:rsidP="00661F21">
      <w:pPr>
        <w:bidi/>
        <w:jc w:val="both"/>
        <w:rPr>
          <w:rFonts w:cstheme="minorHAnsi"/>
          <w:sz w:val="28"/>
          <w:szCs w:val="28"/>
          <w:rtl/>
        </w:rPr>
      </w:pPr>
      <w:r w:rsidRPr="00D45DC9">
        <w:rPr>
          <w:rFonts w:cstheme="minorHAnsi"/>
          <w:color w:val="000000" w:themeColor="text1"/>
          <w:sz w:val="28"/>
          <w:szCs w:val="28"/>
          <w:rtl/>
        </w:rPr>
        <w:t xml:space="preserve">في المقابل وبالرغم أن المادة </w:t>
      </w:r>
      <w:r w:rsidRPr="00D45DC9">
        <w:rPr>
          <w:rFonts w:cstheme="minorHAnsi"/>
          <w:color w:val="000000" w:themeColor="text1"/>
          <w:sz w:val="28"/>
          <w:szCs w:val="28"/>
        </w:rPr>
        <w:t>11</w:t>
      </w:r>
      <w:r w:rsidRPr="00D45DC9">
        <w:rPr>
          <w:rFonts w:cstheme="minorHAnsi"/>
          <w:color w:val="000000" w:themeColor="text1"/>
          <w:sz w:val="28"/>
          <w:szCs w:val="28"/>
          <w:rtl/>
        </w:rPr>
        <w:t xml:space="preserve"> من المعاهدة تنص على ضرورة </w:t>
      </w:r>
      <w:r w:rsidRPr="00D45DC9">
        <w:rPr>
          <w:rFonts w:cstheme="minorHAnsi"/>
          <w:sz w:val="28"/>
          <w:szCs w:val="28"/>
          <w:rtl/>
        </w:rPr>
        <w:t>اتخاذ الدول الأطراف تدابير لمنع تحويل وجهة الأسلحة التقليدية، سواء كانت صادرات</w:t>
      </w:r>
      <w:r w:rsidR="00B142F8" w:rsidRPr="00D45DC9">
        <w:rPr>
          <w:rFonts w:cstheme="minorHAnsi"/>
          <w:sz w:val="28"/>
          <w:szCs w:val="28"/>
          <w:rtl/>
        </w:rPr>
        <w:t xml:space="preserve"> أو </w:t>
      </w:r>
      <w:r w:rsidRPr="00D45DC9">
        <w:rPr>
          <w:rFonts w:cstheme="minorHAnsi"/>
          <w:sz w:val="28"/>
          <w:szCs w:val="28"/>
          <w:rtl/>
        </w:rPr>
        <w:t xml:space="preserve">مرور عابر </w:t>
      </w:r>
      <w:r w:rsidR="00B142F8" w:rsidRPr="00D45DC9">
        <w:rPr>
          <w:rFonts w:cstheme="minorHAnsi"/>
          <w:sz w:val="28"/>
          <w:szCs w:val="28"/>
          <w:rtl/>
        </w:rPr>
        <w:t xml:space="preserve">أو </w:t>
      </w:r>
      <w:r w:rsidRPr="00D45DC9">
        <w:rPr>
          <w:rFonts w:cstheme="minorHAnsi"/>
          <w:sz w:val="28"/>
          <w:szCs w:val="28"/>
          <w:rtl/>
        </w:rPr>
        <w:t xml:space="preserve">إعادة شحن أو استيراد، إلا أن </w:t>
      </w:r>
      <w:r w:rsidR="00661F21">
        <w:rPr>
          <w:rFonts w:cstheme="minorHAnsi" w:hint="cs"/>
          <w:sz w:val="28"/>
          <w:szCs w:val="28"/>
          <w:rtl/>
        </w:rPr>
        <w:t xml:space="preserve">بعض التقديرات </w:t>
      </w:r>
      <w:r w:rsidRPr="00D45DC9">
        <w:rPr>
          <w:rFonts w:cstheme="minorHAnsi"/>
          <w:sz w:val="28"/>
          <w:szCs w:val="28"/>
          <w:rtl/>
        </w:rPr>
        <w:t xml:space="preserve">تشير إلى تحويل وجهة الأسلحة لقوات الدعم السريع في السودان، والتي تستخدمها لارتكاب جرائم للحرب وجرائم ضد الإنسانية، </w:t>
      </w:r>
      <w:r w:rsidR="0033092B" w:rsidRPr="00D45DC9">
        <w:rPr>
          <w:rFonts w:cstheme="minorHAnsi"/>
          <w:sz w:val="28"/>
          <w:szCs w:val="28"/>
          <w:rtl/>
        </w:rPr>
        <w:t xml:space="preserve">لاسيما من دول مثل صربيا وفرنسا وهي دول أطراف في معاهدة تجارة الأسلحة. </w:t>
      </w:r>
    </w:p>
    <w:p w14:paraId="1C840F29" w14:textId="71921FAB" w:rsidR="00827B08" w:rsidRPr="00661F21" w:rsidRDefault="000D7963" w:rsidP="0033092B">
      <w:pPr>
        <w:bidi/>
        <w:jc w:val="both"/>
        <w:rPr>
          <w:rFonts w:cstheme="minorHAnsi"/>
          <w:sz w:val="28"/>
          <w:szCs w:val="28"/>
          <w:rtl/>
        </w:rPr>
      </w:pPr>
      <w:r w:rsidRPr="00661F21">
        <w:rPr>
          <w:rFonts w:cstheme="minorHAnsi"/>
          <w:sz w:val="28"/>
          <w:szCs w:val="28"/>
          <w:rtl/>
        </w:rPr>
        <w:t xml:space="preserve">يتعين على الدول الأطراف في معاهدة تجارة الأسلحة والبالغ عددها </w:t>
      </w:r>
      <w:r w:rsidRPr="00661F21">
        <w:rPr>
          <w:rFonts w:cstheme="minorHAnsi"/>
          <w:sz w:val="28"/>
          <w:szCs w:val="28"/>
        </w:rPr>
        <w:t>116</w:t>
      </w:r>
      <w:r w:rsidRPr="00661F21">
        <w:rPr>
          <w:rFonts w:cstheme="minorHAnsi"/>
          <w:sz w:val="28"/>
          <w:szCs w:val="28"/>
          <w:rtl/>
        </w:rPr>
        <w:t xml:space="preserve"> دولة اتخاذ تدابير عاجلة لمنع تحويل وجهة الأسلحة إلى الدول التي لديها تاريخ حافل في توريد الأسلحة إلى مناطق النزاعات المسلحة والتي تقع فيها بانتظام جرائم حرب وانتهاكات للقانون الدولي الإنساني، مع إجراء تقييمات دقيقة للمخاطر قبل الموافقة على أي صفقة أسلحة، </w:t>
      </w:r>
      <w:r w:rsidR="002A1D63">
        <w:rPr>
          <w:rFonts w:cstheme="minorHAnsi"/>
          <w:sz w:val="28"/>
          <w:szCs w:val="28"/>
          <w:rtl/>
        </w:rPr>
        <w:t>مع الأخذ في الاعتبار</w:t>
      </w:r>
      <w:r w:rsidR="002A1D63">
        <w:rPr>
          <w:rFonts w:cstheme="minorHAnsi" w:hint="cs"/>
          <w:sz w:val="28"/>
          <w:szCs w:val="28"/>
          <w:rtl/>
        </w:rPr>
        <w:t xml:space="preserve"> </w:t>
      </w:r>
      <w:r w:rsidRPr="00661F21">
        <w:rPr>
          <w:rFonts w:cstheme="minorHAnsi"/>
          <w:sz w:val="28"/>
          <w:szCs w:val="28"/>
          <w:rtl/>
        </w:rPr>
        <w:t xml:space="preserve">تاريخها في تحويل وجهة الأسلحة، ومدى التزامها بالقانون الدولي، ويجب أن تكون نتائج هذه التقييمات متاحة للجمهور قدر الإمكان، لضمان الشفافية والمساءلة. </w:t>
      </w:r>
    </w:p>
    <w:p w14:paraId="4504D725" w14:textId="118B8912" w:rsidR="00CB0AED" w:rsidRPr="00623C38" w:rsidRDefault="00702239" w:rsidP="0020348D">
      <w:pPr>
        <w:bidi/>
        <w:jc w:val="both"/>
        <w:rPr>
          <w:rFonts w:cstheme="minorHAnsi"/>
          <w:sz w:val="28"/>
          <w:szCs w:val="28"/>
          <w:rtl/>
        </w:rPr>
      </w:pPr>
      <w:r w:rsidRPr="00623C38">
        <w:rPr>
          <w:rFonts w:cstheme="minorHAnsi"/>
          <w:sz w:val="28"/>
          <w:szCs w:val="28"/>
          <w:rtl/>
        </w:rPr>
        <w:t xml:space="preserve">فيما يتعلق بالتصعيد الحالي </w:t>
      </w:r>
      <w:r w:rsidR="00305202" w:rsidRPr="00623C38">
        <w:rPr>
          <w:rFonts w:cstheme="minorHAnsi"/>
          <w:sz w:val="28"/>
          <w:szCs w:val="28"/>
          <w:rtl/>
        </w:rPr>
        <w:t>للأوضاع في سوريا</w:t>
      </w:r>
      <w:r w:rsidR="0020348D" w:rsidRPr="00623C38">
        <w:rPr>
          <w:rFonts w:cstheme="minorHAnsi"/>
          <w:sz w:val="28"/>
          <w:szCs w:val="28"/>
          <w:rtl/>
        </w:rPr>
        <w:t xml:space="preserve"> لدي مؤسسة ماعت العديد من المخاوف المتعلقة ب</w:t>
      </w:r>
      <w:r w:rsidR="008E4B97" w:rsidRPr="00623C38">
        <w:rPr>
          <w:rFonts w:cstheme="minorHAnsi"/>
          <w:sz w:val="28"/>
          <w:szCs w:val="28"/>
          <w:rtl/>
        </w:rPr>
        <w:t xml:space="preserve">تدفق الأسلحة والذخائر </w:t>
      </w:r>
      <w:r w:rsidR="00CB0AED" w:rsidRPr="00623C38">
        <w:rPr>
          <w:rFonts w:cstheme="minorHAnsi"/>
          <w:sz w:val="28"/>
          <w:szCs w:val="28"/>
          <w:rtl/>
        </w:rPr>
        <w:t>بشكل غير مسؤول إلى</w:t>
      </w:r>
      <w:r w:rsidR="008E4B97" w:rsidRPr="00623C38">
        <w:rPr>
          <w:rFonts w:cstheme="minorHAnsi"/>
          <w:sz w:val="28"/>
          <w:szCs w:val="28"/>
          <w:rtl/>
        </w:rPr>
        <w:t xml:space="preserve"> </w:t>
      </w:r>
      <w:r w:rsidR="00CB0AED" w:rsidRPr="00623C38">
        <w:rPr>
          <w:rFonts w:cstheme="minorHAnsi"/>
          <w:sz w:val="28"/>
          <w:szCs w:val="28"/>
          <w:rtl/>
        </w:rPr>
        <w:t xml:space="preserve">العديد من الأطراف داخل الأراضي السورية بما في ذلك قوات </w:t>
      </w:r>
      <w:r w:rsidR="00CB0AED" w:rsidRPr="00623C38">
        <w:rPr>
          <w:rFonts w:cstheme="minorHAnsi"/>
          <w:sz w:val="28"/>
          <w:szCs w:val="28"/>
          <w:rtl/>
        </w:rPr>
        <w:lastRenderedPageBreak/>
        <w:t xml:space="preserve">عشائر البدو في السويداء وبعض العناصر المحلية </w:t>
      </w:r>
      <w:r w:rsidR="0020348D" w:rsidRPr="00623C38">
        <w:rPr>
          <w:rFonts w:cstheme="minorHAnsi"/>
          <w:sz w:val="28"/>
          <w:szCs w:val="28"/>
          <w:rtl/>
        </w:rPr>
        <w:t xml:space="preserve">المحسوبة على </w:t>
      </w:r>
      <w:r w:rsidR="00CB0AED" w:rsidRPr="00623C38">
        <w:rPr>
          <w:rFonts w:cstheme="minorHAnsi"/>
          <w:sz w:val="28"/>
          <w:szCs w:val="28"/>
          <w:rtl/>
        </w:rPr>
        <w:t>أعضاء من طائفة الدروز،</w:t>
      </w:r>
      <w:r w:rsidR="0020348D" w:rsidRPr="00623C38">
        <w:rPr>
          <w:rFonts w:cstheme="minorHAnsi"/>
          <w:sz w:val="28"/>
          <w:szCs w:val="28"/>
        </w:rPr>
        <w:t xml:space="preserve"> </w:t>
      </w:r>
      <w:r w:rsidR="0020348D" w:rsidRPr="00623C38">
        <w:rPr>
          <w:rFonts w:cstheme="minorHAnsi"/>
          <w:sz w:val="28"/>
          <w:szCs w:val="28"/>
          <w:rtl/>
        </w:rPr>
        <w:t xml:space="preserve"> وتحصل تلك الأطراف بشكل أساسي على الأسلحة من حكومة الاحتلال الإسرائيلي والحكومة السورية الحالية، مما يؤدي إلي </w:t>
      </w:r>
      <w:r w:rsidR="00CB0AED" w:rsidRPr="00623C38">
        <w:rPr>
          <w:rFonts w:cstheme="minorHAnsi"/>
          <w:sz w:val="28"/>
          <w:szCs w:val="28"/>
          <w:rtl/>
        </w:rPr>
        <w:t xml:space="preserve">تصاعد أعمال العنف والاشتباكات المميتة ذات الأبعاد الطائفية بما يٌهدد الأمن والسلم داخل سوريا، كذلك يتجدد خطر وقوع تلك الأسلحة في أيادي بعض التيارات الإرهابية أو الجماعات المسلحة التي قد تستخدمها في ارتكاب انتهاكات جسمية للقانون الدولي الإنساني. </w:t>
      </w:r>
    </w:p>
    <w:p w14:paraId="586E6E92" w14:textId="536889B2" w:rsidR="00CB0AED" w:rsidRPr="00623C38" w:rsidRDefault="00CB0AED" w:rsidP="00CB0AED">
      <w:pPr>
        <w:bidi/>
        <w:jc w:val="both"/>
        <w:rPr>
          <w:rFonts w:cstheme="minorHAnsi"/>
          <w:sz w:val="28"/>
          <w:szCs w:val="28"/>
          <w:rtl/>
        </w:rPr>
      </w:pPr>
      <w:r w:rsidRPr="00623C38">
        <w:rPr>
          <w:rFonts w:cstheme="minorHAnsi"/>
          <w:sz w:val="28"/>
          <w:szCs w:val="28"/>
          <w:rtl/>
        </w:rPr>
        <w:t xml:space="preserve"> </w:t>
      </w:r>
      <w:r w:rsidR="008E4B97" w:rsidRPr="00623C38">
        <w:rPr>
          <w:rFonts w:cstheme="minorHAnsi"/>
          <w:sz w:val="28"/>
          <w:szCs w:val="28"/>
          <w:rtl/>
        </w:rPr>
        <w:t>ونظرًا للمخاطر الجسيمة والمستمرة على حقوق الإنسان</w:t>
      </w:r>
      <w:r w:rsidRPr="00623C38">
        <w:rPr>
          <w:rFonts w:cstheme="minorHAnsi"/>
          <w:sz w:val="28"/>
          <w:szCs w:val="28"/>
          <w:rtl/>
        </w:rPr>
        <w:t xml:space="preserve"> من استمرار تدفق الأسلحة والذخائر </w:t>
      </w:r>
      <w:r w:rsidR="00A03501" w:rsidRPr="00623C38">
        <w:rPr>
          <w:rFonts w:cstheme="minorHAnsi"/>
          <w:sz w:val="28"/>
          <w:szCs w:val="28"/>
          <w:rtl/>
        </w:rPr>
        <w:t>إلى</w:t>
      </w:r>
      <w:r w:rsidRPr="00623C38">
        <w:rPr>
          <w:rFonts w:cstheme="minorHAnsi"/>
          <w:sz w:val="28"/>
          <w:szCs w:val="28"/>
          <w:rtl/>
        </w:rPr>
        <w:t xml:space="preserve"> سوريا دون ضوابط مٌحددة، يتعين </w:t>
      </w:r>
      <w:r w:rsidR="008E4B97" w:rsidRPr="00623C38">
        <w:rPr>
          <w:rFonts w:cstheme="minorHAnsi"/>
          <w:sz w:val="28"/>
          <w:szCs w:val="28"/>
          <w:rtl/>
        </w:rPr>
        <w:t>على جميع الدول</w:t>
      </w:r>
      <w:r w:rsidR="00A03501" w:rsidRPr="00623C38">
        <w:rPr>
          <w:rFonts w:cstheme="minorHAnsi"/>
          <w:sz w:val="28"/>
          <w:szCs w:val="28"/>
          <w:rtl/>
        </w:rPr>
        <w:t xml:space="preserve"> الأطراف والموقعة في معاهدة تجارة الأسلحة أن</w:t>
      </w:r>
      <w:r w:rsidR="008E4B97" w:rsidRPr="00623C38">
        <w:rPr>
          <w:rFonts w:cstheme="minorHAnsi"/>
          <w:sz w:val="28"/>
          <w:szCs w:val="28"/>
          <w:rtl/>
        </w:rPr>
        <w:t xml:space="preserve"> ت</w:t>
      </w:r>
      <w:r w:rsidR="00D45F69" w:rsidRPr="00623C38">
        <w:rPr>
          <w:rFonts w:cstheme="minorHAnsi"/>
          <w:sz w:val="28"/>
          <w:szCs w:val="28"/>
          <w:rtl/>
        </w:rPr>
        <w:t>ت</w:t>
      </w:r>
      <w:r w:rsidR="008E4B97" w:rsidRPr="00623C38">
        <w:rPr>
          <w:rFonts w:cstheme="minorHAnsi"/>
          <w:sz w:val="28"/>
          <w:szCs w:val="28"/>
          <w:rtl/>
        </w:rPr>
        <w:t>وقف فورًا توريدات كافة الأسلحة والذخائر إلى</w:t>
      </w:r>
      <w:r w:rsidRPr="00623C38">
        <w:rPr>
          <w:rFonts w:cstheme="minorHAnsi"/>
          <w:sz w:val="28"/>
          <w:szCs w:val="28"/>
          <w:rtl/>
        </w:rPr>
        <w:t xml:space="preserve"> سوريا، </w:t>
      </w:r>
      <w:r w:rsidR="00A03501" w:rsidRPr="00623C38">
        <w:rPr>
          <w:rFonts w:cstheme="minorHAnsi"/>
          <w:sz w:val="28"/>
          <w:szCs w:val="28"/>
          <w:rtl/>
        </w:rPr>
        <w:t xml:space="preserve">في ظل بوادر أزمة إنسانية قد تؤدي </w:t>
      </w:r>
      <w:r w:rsidR="00D45F69" w:rsidRPr="00623C38">
        <w:rPr>
          <w:rFonts w:cstheme="minorHAnsi"/>
          <w:sz w:val="28"/>
          <w:szCs w:val="28"/>
          <w:rtl/>
        </w:rPr>
        <w:t>إلى</w:t>
      </w:r>
      <w:r w:rsidR="00A03501" w:rsidRPr="00623C38">
        <w:rPr>
          <w:rFonts w:cstheme="minorHAnsi"/>
          <w:sz w:val="28"/>
          <w:szCs w:val="28"/>
          <w:rtl/>
        </w:rPr>
        <w:t xml:space="preserve"> مقتل عدد كبير من المدنيين. </w:t>
      </w:r>
    </w:p>
    <w:p w14:paraId="2B8C40F9" w14:textId="4356588A" w:rsidR="00D45F69" w:rsidRPr="00D45DC9" w:rsidRDefault="00D45F69" w:rsidP="00A7025F">
      <w:pPr>
        <w:bidi/>
        <w:jc w:val="lowKashida"/>
        <w:rPr>
          <w:rFonts w:eastAsia="Times New Roman" w:cstheme="minorHAnsi"/>
          <w:sz w:val="28"/>
          <w:szCs w:val="28"/>
          <w:rtl/>
        </w:rPr>
      </w:pPr>
      <w:r w:rsidRPr="000329B5">
        <w:rPr>
          <w:rFonts w:eastAsia="Times New Roman" w:cstheme="minorHAnsi"/>
          <w:sz w:val="28"/>
          <w:szCs w:val="28"/>
          <w:rtl/>
        </w:rPr>
        <w:t>في النهاية توصي م</w:t>
      </w:r>
      <w:r w:rsidRPr="00D45DC9">
        <w:rPr>
          <w:rFonts w:eastAsia="Times New Roman" w:cstheme="minorHAnsi"/>
          <w:sz w:val="28"/>
          <w:szCs w:val="28"/>
          <w:rtl/>
        </w:rPr>
        <w:t xml:space="preserve">ؤسسة ماعت الدول الأطراف والموقعة على المعاهدة بضرورة إجراء تقييم دقيق للمخاطر قبل كل عملية تصدير، مع الأخذ في الاعتبار الأوضاع الأمنية والإنسانية في الدول المستوردة وكذلك تاريخها في عمليات إعادة تحويل وجهة الأسلحة للدول التي تعاني من الصراعات المسلحة، لضمان عدم وصول هذه الأسلحة إلى أطراف غير مسؤولة قد تستخدمها في انتهاك </w:t>
      </w:r>
      <w:r w:rsidR="00A7025F">
        <w:rPr>
          <w:rFonts w:eastAsia="Times New Roman" w:cstheme="minorHAnsi" w:hint="cs"/>
          <w:sz w:val="28"/>
          <w:szCs w:val="28"/>
          <w:rtl/>
        </w:rPr>
        <w:t xml:space="preserve">حقوق الانسان </w:t>
      </w:r>
      <w:r w:rsidRPr="00D45DC9">
        <w:rPr>
          <w:rFonts w:eastAsia="Times New Roman" w:cstheme="minorHAnsi"/>
          <w:sz w:val="28"/>
          <w:szCs w:val="28"/>
          <w:rtl/>
        </w:rPr>
        <w:t>وتعريض حياة المدنيين للخطر</w:t>
      </w:r>
      <w:r w:rsidRPr="00D45DC9">
        <w:rPr>
          <w:rFonts w:eastAsia="Times New Roman" w:cstheme="minorHAnsi"/>
          <w:sz w:val="28"/>
          <w:szCs w:val="28"/>
        </w:rPr>
        <w:t>.</w:t>
      </w:r>
    </w:p>
    <w:sectPr w:rsidR="00D45F69" w:rsidRPr="00D45DC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E0D7D" w14:textId="77777777" w:rsidR="00EC0FDE" w:rsidRDefault="00EC0FDE" w:rsidP="00DF2277">
      <w:pPr>
        <w:spacing w:before="0" w:after="0"/>
      </w:pPr>
      <w:r>
        <w:separator/>
      </w:r>
    </w:p>
  </w:endnote>
  <w:endnote w:type="continuationSeparator" w:id="0">
    <w:p w14:paraId="4DFC14F7" w14:textId="77777777" w:rsidR="00EC0FDE" w:rsidRDefault="00EC0FDE" w:rsidP="00DF22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E2135" w14:textId="77777777" w:rsidR="00EC0FDE" w:rsidRDefault="00EC0FDE" w:rsidP="00DF2277">
      <w:pPr>
        <w:spacing w:before="0" w:after="0"/>
      </w:pPr>
      <w:r>
        <w:separator/>
      </w:r>
    </w:p>
  </w:footnote>
  <w:footnote w:type="continuationSeparator" w:id="0">
    <w:p w14:paraId="5DB8B95B" w14:textId="77777777" w:rsidR="00EC0FDE" w:rsidRDefault="00EC0FDE" w:rsidP="00DF22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2616" w14:textId="5435AD58" w:rsidR="00DF2277" w:rsidRPr="00DF2277" w:rsidRDefault="00DF2277" w:rsidP="00DF2277">
    <w:pPr>
      <w:pStyle w:val="Header"/>
    </w:pPr>
    <w:r>
      <w:rPr>
        <w:noProof/>
      </w:rPr>
      <w:drawing>
        <wp:inline distT="0" distB="0" distL="0" distR="0" wp14:anchorId="2A47EB80" wp14:editId="242261DF">
          <wp:extent cx="1231680" cy="1071245"/>
          <wp:effectExtent l="0" t="0" r="635" b="0"/>
          <wp:docPr id="28" name="Picture 1" descr="maat pe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maat peace"/>
                  <pic:cNvPicPr>
                    <a:picLocks noChangeAspect="1" noChangeArrowheads="1"/>
                  </pic:cNvPicPr>
                </pic:nvPicPr>
                <pic:blipFill>
                  <a:blip r:embed="rId1" cstate="print"/>
                  <a:srcRect/>
                  <a:stretch>
                    <a:fillRect/>
                  </a:stretch>
                </pic:blipFill>
                <pic:spPr bwMode="auto">
                  <a:xfrm>
                    <a:off x="0" y="0"/>
                    <a:ext cx="1265338" cy="1100519"/>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6B43"/>
    <w:multiLevelType w:val="multilevel"/>
    <w:tmpl w:val="6CF8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63B54"/>
    <w:multiLevelType w:val="hybridMultilevel"/>
    <w:tmpl w:val="6DCC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06169B"/>
    <w:multiLevelType w:val="multilevel"/>
    <w:tmpl w:val="E06C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4B6000"/>
    <w:multiLevelType w:val="multilevel"/>
    <w:tmpl w:val="3E328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643611"/>
    <w:multiLevelType w:val="multilevel"/>
    <w:tmpl w:val="CA964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1040C6"/>
    <w:multiLevelType w:val="hybridMultilevel"/>
    <w:tmpl w:val="6DAAADB4"/>
    <w:lvl w:ilvl="0" w:tplc="B0DA51BE">
      <w:start w:val="1"/>
      <w:numFmt w:val="decimal"/>
      <w:lvlText w:val="%1."/>
      <w:lvlJc w:val="left"/>
      <w:pPr>
        <w:ind w:left="-203" w:hanging="360"/>
      </w:pPr>
      <w:rPr>
        <w:rFonts w:hint="default"/>
      </w:rPr>
    </w:lvl>
    <w:lvl w:ilvl="1" w:tplc="04090019" w:tentative="1">
      <w:start w:val="1"/>
      <w:numFmt w:val="lowerLetter"/>
      <w:lvlText w:val="%2."/>
      <w:lvlJc w:val="left"/>
      <w:pPr>
        <w:ind w:left="517" w:hanging="360"/>
      </w:pPr>
    </w:lvl>
    <w:lvl w:ilvl="2" w:tplc="0409001B" w:tentative="1">
      <w:start w:val="1"/>
      <w:numFmt w:val="lowerRoman"/>
      <w:lvlText w:val="%3."/>
      <w:lvlJc w:val="right"/>
      <w:pPr>
        <w:ind w:left="1237" w:hanging="180"/>
      </w:pPr>
    </w:lvl>
    <w:lvl w:ilvl="3" w:tplc="0409000F" w:tentative="1">
      <w:start w:val="1"/>
      <w:numFmt w:val="decimal"/>
      <w:lvlText w:val="%4."/>
      <w:lvlJc w:val="left"/>
      <w:pPr>
        <w:ind w:left="1957" w:hanging="360"/>
      </w:pPr>
    </w:lvl>
    <w:lvl w:ilvl="4" w:tplc="04090019" w:tentative="1">
      <w:start w:val="1"/>
      <w:numFmt w:val="lowerLetter"/>
      <w:lvlText w:val="%5."/>
      <w:lvlJc w:val="left"/>
      <w:pPr>
        <w:ind w:left="2677" w:hanging="360"/>
      </w:pPr>
    </w:lvl>
    <w:lvl w:ilvl="5" w:tplc="0409001B" w:tentative="1">
      <w:start w:val="1"/>
      <w:numFmt w:val="lowerRoman"/>
      <w:lvlText w:val="%6."/>
      <w:lvlJc w:val="right"/>
      <w:pPr>
        <w:ind w:left="3397" w:hanging="180"/>
      </w:pPr>
    </w:lvl>
    <w:lvl w:ilvl="6" w:tplc="0409000F" w:tentative="1">
      <w:start w:val="1"/>
      <w:numFmt w:val="decimal"/>
      <w:lvlText w:val="%7."/>
      <w:lvlJc w:val="left"/>
      <w:pPr>
        <w:ind w:left="4117" w:hanging="360"/>
      </w:pPr>
    </w:lvl>
    <w:lvl w:ilvl="7" w:tplc="04090019" w:tentative="1">
      <w:start w:val="1"/>
      <w:numFmt w:val="lowerLetter"/>
      <w:lvlText w:val="%8."/>
      <w:lvlJc w:val="left"/>
      <w:pPr>
        <w:ind w:left="4837" w:hanging="360"/>
      </w:pPr>
    </w:lvl>
    <w:lvl w:ilvl="8" w:tplc="0409001B" w:tentative="1">
      <w:start w:val="1"/>
      <w:numFmt w:val="lowerRoman"/>
      <w:lvlText w:val="%9."/>
      <w:lvlJc w:val="right"/>
      <w:pPr>
        <w:ind w:left="5557" w:hanging="180"/>
      </w:pPr>
    </w:lvl>
  </w:abstractNum>
  <w:abstractNum w:abstractNumId="6" w15:restartNumberingAfterBreak="0">
    <w:nsid w:val="5EE71D92"/>
    <w:multiLevelType w:val="multilevel"/>
    <w:tmpl w:val="4CBA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7F0F45"/>
    <w:multiLevelType w:val="multilevel"/>
    <w:tmpl w:val="06068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2504352">
    <w:abstractNumId w:val="1"/>
  </w:num>
  <w:num w:numId="2" w16cid:durableId="2045472438">
    <w:abstractNumId w:val="6"/>
  </w:num>
  <w:num w:numId="3" w16cid:durableId="1796095115">
    <w:abstractNumId w:val="5"/>
  </w:num>
  <w:num w:numId="4" w16cid:durableId="1261449318">
    <w:abstractNumId w:val="0"/>
  </w:num>
  <w:num w:numId="5" w16cid:durableId="178547115">
    <w:abstractNumId w:val="3"/>
  </w:num>
  <w:num w:numId="6" w16cid:durableId="646976969">
    <w:abstractNumId w:val="4"/>
  </w:num>
  <w:num w:numId="7" w16cid:durableId="274480449">
    <w:abstractNumId w:val="2"/>
  </w:num>
  <w:num w:numId="8" w16cid:durableId="12813762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C06"/>
    <w:rsid w:val="0002260A"/>
    <w:rsid w:val="000329B5"/>
    <w:rsid w:val="000358C2"/>
    <w:rsid w:val="000902EC"/>
    <w:rsid w:val="000B0BDF"/>
    <w:rsid w:val="000D7963"/>
    <w:rsid w:val="000E02F9"/>
    <w:rsid w:val="000F789A"/>
    <w:rsid w:val="00100326"/>
    <w:rsid w:val="00103273"/>
    <w:rsid w:val="00121569"/>
    <w:rsid w:val="00146EA8"/>
    <w:rsid w:val="0016713B"/>
    <w:rsid w:val="00185812"/>
    <w:rsid w:val="001A1D19"/>
    <w:rsid w:val="001A5612"/>
    <w:rsid w:val="001B6008"/>
    <w:rsid w:val="001F0BE9"/>
    <w:rsid w:val="0020348D"/>
    <w:rsid w:val="00214B98"/>
    <w:rsid w:val="002411D5"/>
    <w:rsid w:val="002569EC"/>
    <w:rsid w:val="00276D48"/>
    <w:rsid w:val="00283AE2"/>
    <w:rsid w:val="00295B59"/>
    <w:rsid w:val="00296D81"/>
    <w:rsid w:val="002A1D63"/>
    <w:rsid w:val="002B100F"/>
    <w:rsid w:val="002B543B"/>
    <w:rsid w:val="002D3546"/>
    <w:rsid w:val="00305202"/>
    <w:rsid w:val="00316EF5"/>
    <w:rsid w:val="00325857"/>
    <w:rsid w:val="0033092B"/>
    <w:rsid w:val="00342605"/>
    <w:rsid w:val="00344CF2"/>
    <w:rsid w:val="00346816"/>
    <w:rsid w:val="00361FA9"/>
    <w:rsid w:val="0038764B"/>
    <w:rsid w:val="0039528E"/>
    <w:rsid w:val="003A3AFD"/>
    <w:rsid w:val="003A7571"/>
    <w:rsid w:val="00430EBC"/>
    <w:rsid w:val="004312FA"/>
    <w:rsid w:val="00452C06"/>
    <w:rsid w:val="004667C0"/>
    <w:rsid w:val="004B4006"/>
    <w:rsid w:val="004F5686"/>
    <w:rsid w:val="00544C20"/>
    <w:rsid w:val="00592658"/>
    <w:rsid w:val="005C568E"/>
    <w:rsid w:val="005D353A"/>
    <w:rsid w:val="005D53C4"/>
    <w:rsid w:val="005E479C"/>
    <w:rsid w:val="005E7B8B"/>
    <w:rsid w:val="005F281C"/>
    <w:rsid w:val="0061467F"/>
    <w:rsid w:val="00615403"/>
    <w:rsid w:val="00617738"/>
    <w:rsid w:val="00623C38"/>
    <w:rsid w:val="006412DE"/>
    <w:rsid w:val="00661F21"/>
    <w:rsid w:val="00682F95"/>
    <w:rsid w:val="006F2566"/>
    <w:rsid w:val="006F2664"/>
    <w:rsid w:val="00702239"/>
    <w:rsid w:val="007469BF"/>
    <w:rsid w:val="00755A7D"/>
    <w:rsid w:val="00785295"/>
    <w:rsid w:val="007979F5"/>
    <w:rsid w:val="007C1DE3"/>
    <w:rsid w:val="007E243E"/>
    <w:rsid w:val="00801EFE"/>
    <w:rsid w:val="0081346D"/>
    <w:rsid w:val="00817544"/>
    <w:rsid w:val="00827B08"/>
    <w:rsid w:val="00841DC6"/>
    <w:rsid w:val="00856028"/>
    <w:rsid w:val="00871130"/>
    <w:rsid w:val="008957E1"/>
    <w:rsid w:val="008A3FA7"/>
    <w:rsid w:val="008C4998"/>
    <w:rsid w:val="008E175D"/>
    <w:rsid w:val="008E4B97"/>
    <w:rsid w:val="00900E2D"/>
    <w:rsid w:val="009064D8"/>
    <w:rsid w:val="009152BE"/>
    <w:rsid w:val="00934F75"/>
    <w:rsid w:val="0094308D"/>
    <w:rsid w:val="009653BC"/>
    <w:rsid w:val="009911E7"/>
    <w:rsid w:val="00A03501"/>
    <w:rsid w:val="00A0701F"/>
    <w:rsid w:val="00A12B74"/>
    <w:rsid w:val="00A53993"/>
    <w:rsid w:val="00A55994"/>
    <w:rsid w:val="00A7025F"/>
    <w:rsid w:val="00A86D57"/>
    <w:rsid w:val="00A91728"/>
    <w:rsid w:val="00AA714F"/>
    <w:rsid w:val="00AA7623"/>
    <w:rsid w:val="00AB4536"/>
    <w:rsid w:val="00AD19C8"/>
    <w:rsid w:val="00AF32B2"/>
    <w:rsid w:val="00B142F8"/>
    <w:rsid w:val="00B21E4B"/>
    <w:rsid w:val="00B3086D"/>
    <w:rsid w:val="00B435AB"/>
    <w:rsid w:val="00B52855"/>
    <w:rsid w:val="00B57B22"/>
    <w:rsid w:val="00B71E94"/>
    <w:rsid w:val="00B94F32"/>
    <w:rsid w:val="00BA4D7A"/>
    <w:rsid w:val="00BB0897"/>
    <w:rsid w:val="00BD20B9"/>
    <w:rsid w:val="00C37136"/>
    <w:rsid w:val="00C37AA8"/>
    <w:rsid w:val="00CB0AED"/>
    <w:rsid w:val="00D01A3D"/>
    <w:rsid w:val="00D26CD8"/>
    <w:rsid w:val="00D45DC9"/>
    <w:rsid w:val="00D45F69"/>
    <w:rsid w:val="00D63F09"/>
    <w:rsid w:val="00D673C1"/>
    <w:rsid w:val="00D731F5"/>
    <w:rsid w:val="00D8029C"/>
    <w:rsid w:val="00DC03BE"/>
    <w:rsid w:val="00DC4FBD"/>
    <w:rsid w:val="00DE137A"/>
    <w:rsid w:val="00DE4C50"/>
    <w:rsid w:val="00DF2277"/>
    <w:rsid w:val="00DF6750"/>
    <w:rsid w:val="00E00AC9"/>
    <w:rsid w:val="00E05DE5"/>
    <w:rsid w:val="00E3332F"/>
    <w:rsid w:val="00E452CB"/>
    <w:rsid w:val="00E61EA7"/>
    <w:rsid w:val="00EA1B8C"/>
    <w:rsid w:val="00EC0FDE"/>
    <w:rsid w:val="00ED5F2D"/>
    <w:rsid w:val="00EE1B78"/>
    <w:rsid w:val="00EE62DD"/>
    <w:rsid w:val="00F05A63"/>
    <w:rsid w:val="00F0713A"/>
    <w:rsid w:val="00F27508"/>
    <w:rsid w:val="00F3308F"/>
    <w:rsid w:val="00F56F47"/>
    <w:rsid w:val="00F83FFD"/>
    <w:rsid w:val="00F9538D"/>
    <w:rsid w:val="00FA37D6"/>
    <w:rsid w:val="00FA46EE"/>
    <w:rsid w:val="00FE28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7B8B75"/>
  <w15:chartTrackingRefBased/>
  <w15:docId w15:val="{AB38EC19-3A5C-4243-BD6A-33A325AD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2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277"/>
    <w:pPr>
      <w:tabs>
        <w:tab w:val="center" w:pos="4680"/>
        <w:tab w:val="right" w:pos="9360"/>
      </w:tabs>
      <w:spacing w:before="0" w:after="0"/>
    </w:pPr>
  </w:style>
  <w:style w:type="character" w:customStyle="1" w:styleId="HeaderChar">
    <w:name w:val="Header Char"/>
    <w:basedOn w:val="DefaultParagraphFont"/>
    <w:link w:val="Header"/>
    <w:uiPriority w:val="99"/>
    <w:rsid w:val="00DF2277"/>
  </w:style>
  <w:style w:type="paragraph" w:styleId="Footer">
    <w:name w:val="footer"/>
    <w:basedOn w:val="Normal"/>
    <w:link w:val="FooterChar"/>
    <w:uiPriority w:val="99"/>
    <w:unhideWhenUsed/>
    <w:rsid w:val="00DF2277"/>
    <w:pPr>
      <w:tabs>
        <w:tab w:val="center" w:pos="4680"/>
        <w:tab w:val="right" w:pos="9360"/>
      </w:tabs>
      <w:spacing w:before="0" w:after="0"/>
    </w:pPr>
  </w:style>
  <w:style w:type="character" w:customStyle="1" w:styleId="FooterChar">
    <w:name w:val="Footer Char"/>
    <w:basedOn w:val="DefaultParagraphFont"/>
    <w:link w:val="Footer"/>
    <w:uiPriority w:val="99"/>
    <w:rsid w:val="00DF2277"/>
  </w:style>
  <w:style w:type="table" w:styleId="TableGrid">
    <w:name w:val="Table Grid"/>
    <w:basedOn w:val="TableNormal"/>
    <w:uiPriority w:val="39"/>
    <w:rsid w:val="00D802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029C"/>
    <w:rPr>
      <w:color w:val="0563C1" w:themeColor="hyperlink"/>
      <w:u w:val="single"/>
    </w:rPr>
  </w:style>
  <w:style w:type="paragraph" w:styleId="ListParagraph">
    <w:name w:val="List Paragraph"/>
    <w:basedOn w:val="Normal"/>
    <w:uiPriority w:val="34"/>
    <w:qFormat/>
    <w:rsid w:val="00E00AC9"/>
    <w:pPr>
      <w:ind w:left="720"/>
      <w:contextualSpacing/>
    </w:pPr>
  </w:style>
  <w:style w:type="character" w:customStyle="1" w:styleId="UnresolvedMention1">
    <w:name w:val="Unresolved Mention1"/>
    <w:basedOn w:val="DefaultParagraphFont"/>
    <w:uiPriority w:val="99"/>
    <w:semiHidden/>
    <w:unhideWhenUsed/>
    <w:rsid w:val="00C37AA8"/>
    <w:rPr>
      <w:color w:val="605E5C"/>
      <w:shd w:val="clear" w:color="auto" w:fill="E1DFDD"/>
    </w:rPr>
  </w:style>
  <w:style w:type="paragraph" w:styleId="NormalWeb">
    <w:name w:val="Normal (Web)"/>
    <w:basedOn w:val="Normal"/>
    <w:uiPriority w:val="99"/>
    <w:semiHidden/>
    <w:unhideWhenUsed/>
    <w:rsid w:val="00F56F47"/>
    <w:rPr>
      <w:rFonts w:ascii="Times New Roman" w:eastAsia="Times New Roman" w:hAnsi="Times New Roman" w:cs="Times New Roman"/>
      <w:sz w:val="24"/>
      <w:szCs w:val="24"/>
    </w:rPr>
  </w:style>
  <w:style w:type="character" w:styleId="FootnoteReference">
    <w:name w:val="footnote reference"/>
    <w:aliases w:val="4_G,4_GA"/>
    <w:basedOn w:val="DefaultParagraphFont"/>
    <w:uiPriority w:val="99"/>
    <w:unhideWhenUsed/>
    <w:qFormat/>
    <w:rsid w:val="00B21E4B"/>
    <w:rPr>
      <w:vertAlign w:val="superscript"/>
    </w:rPr>
  </w:style>
  <w:style w:type="paragraph" w:styleId="FootnoteText">
    <w:name w:val="footnote text"/>
    <w:aliases w:val="5_G"/>
    <w:basedOn w:val="Normal"/>
    <w:link w:val="FootnoteTextChar"/>
    <w:uiPriority w:val="99"/>
    <w:unhideWhenUsed/>
    <w:qFormat/>
    <w:rsid w:val="00B21E4B"/>
    <w:pPr>
      <w:spacing w:before="0" w:beforeAutospacing="0" w:after="0" w:afterAutospacing="0"/>
    </w:pPr>
    <w:rPr>
      <w:sz w:val="20"/>
      <w:szCs w:val="20"/>
    </w:rPr>
  </w:style>
  <w:style w:type="character" w:customStyle="1" w:styleId="FootnoteTextChar">
    <w:name w:val="Footnote Text Char"/>
    <w:aliases w:val="5_G Char"/>
    <w:basedOn w:val="DefaultParagraphFont"/>
    <w:link w:val="FootnoteText"/>
    <w:uiPriority w:val="99"/>
    <w:rsid w:val="00B21E4B"/>
    <w:rPr>
      <w:sz w:val="20"/>
      <w:szCs w:val="20"/>
    </w:rPr>
  </w:style>
  <w:style w:type="character" w:styleId="FollowedHyperlink">
    <w:name w:val="FollowedHyperlink"/>
    <w:basedOn w:val="DefaultParagraphFont"/>
    <w:uiPriority w:val="99"/>
    <w:semiHidden/>
    <w:unhideWhenUsed/>
    <w:rsid w:val="000E02F9"/>
    <w:rPr>
      <w:color w:val="954F72" w:themeColor="followedHyperlink"/>
      <w:u w:val="single"/>
    </w:rPr>
  </w:style>
  <w:style w:type="character" w:styleId="Strong">
    <w:name w:val="Strong"/>
    <w:basedOn w:val="DefaultParagraphFont"/>
    <w:uiPriority w:val="22"/>
    <w:qFormat/>
    <w:rsid w:val="007E243E"/>
    <w:rPr>
      <w:b/>
      <w:bCs/>
    </w:rPr>
  </w:style>
  <w:style w:type="character" w:styleId="Emphasis">
    <w:name w:val="Emphasis"/>
    <w:basedOn w:val="DefaultParagraphFont"/>
    <w:uiPriority w:val="20"/>
    <w:qFormat/>
    <w:rsid w:val="007E24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1982">
      <w:bodyDiv w:val="1"/>
      <w:marLeft w:val="0"/>
      <w:marRight w:val="0"/>
      <w:marTop w:val="0"/>
      <w:marBottom w:val="0"/>
      <w:divBdr>
        <w:top w:val="none" w:sz="0" w:space="0" w:color="auto"/>
        <w:left w:val="none" w:sz="0" w:space="0" w:color="auto"/>
        <w:bottom w:val="none" w:sz="0" w:space="0" w:color="auto"/>
        <w:right w:val="none" w:sz="0" w:space="0" w:color="auto"/>
      </w:divBdr>
    </w:div>
    <w:div w:id="71203801">
      <w:bodyDiv w:val="1"/>
      <w:marLeft w:val="0"/>
      <w:marRight w:val="0"/>
      <w:marTop w:val="0"/>
      <w:marBottom w:val="0"/>
      <w:divBdr>
        <w:top w:val="none" w:sz="0" w:space="0" w:color="auto"/>
        <w:left w:val="none" w:sz="0" w:space="0" w:color="auto"/>
        <w:bottom w:val="none" w:sz="0" w:space="0" w:color="auto"/>
        <w:right w:val="none" w:sz="0" w:space="0" w:color="auto"/>
      </w:divBdr>
    </w:div>
    <w:div w:id="84546224">
      <w:bodyDiv w:val="1"/>
      <w:marLeft w:val="0"/>
      <w:marRight w:val="0"/>
      <w:marTop w:val="0"/>
      <w:marBottom w:val="0"/>
      <w:divBdr>
        <w:top w:val="none" w:sz="0" w:space="0" w:color="auto"/>
        <w:left w:val="none" w:sz="0" w:space="0" w:color="auto"/>
        <w:bottom w:val="none" w:sz="0" w:space="0" w:color="auto"/>
        <w:right w:val="none" w:sz="0" w:space="0" w:color="auto"/>
      </w:divBdr>
      <w:divsChild>
        <w:div w:id="162555317">
          <w:marLeft w:val="0"/>
          <w:marRight w:val="0"/>
          <w:marTop w:val="0"/>
          <w:marBottom w:val="0"/>
          <w:divBdr>
            <w:top w:val="none" w:sz="0" w:space="0" w:color="auto"/>
            <w:left w:val="none" w:sz="0" w:space="0" w:color="auto"/>
            <w:bottom w:val="none" w:sz="0" w:space="0" w:color="auto"/>
            <w:right w:val="none" w:sz="0" w:space="0" w:color="auto"/>
          </w:divBdr>
          <w:divsChild>
            <w:div w:id="1095663008">
              <w:marLeft w:val="0"/>
              <w:marRight w:val="0"/>
              <w:marTop w:val="0"/>
              <w:marBottom w:val="0"/>
              <w:divBdr>
                <w:top w:val="none" w:sz="0" w:space="0" w:color="auto"/>
                <w:left w:val="none" w:sz="0" w:space="0" w:color="auto"/>
                <w:bottom w:val="none" w:sz="0" w:space="0" w:color="auto"/>
                <w:right w:val="none" w:sz="0" w:space="0" w:color="auto"/>
              </w:divBdr>
              <w:divsChild>
                <w:div w:id="322784330">
                  <w:marLeft w:val="0"/>
                  <w:marRight w:val="0"/>
                  <w:marTop w:val="0"/>
                  <w:marBottom w:val="0"/>
                  <w:divBdr>
                    <w:top w:val="none" w:sz="0" w:space="0" w:color="auto"/>
                    <w:left w:val="none" w:sz="0" w:space="0" w:color="auto"/>
                    <w:bottom w:val="none" w:sz="0" w:space="0" w:color="auto"/>
                    <w:right w:val="none" w:sz="0" w:space="0" w:color="auto"/>
                  </w:divBdr>
                  <w:divsChild>
                    <w:div w:id="10179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3979">
      <w:bodyDiv w:val="1"/>
      <w:marLeft w:val="0"/>
      <w:marRight w:val="0"/>
      <w:marTop w:val="0"/>
      <w:marBottom w:val="0"/>
      <w:divBdr>
        <w:top w:val="none" w:sz="0" w:space="0" w:color="auto"/>
        <w:left w:val="none" w:sz="0" w:space="0" w:color="auto"/>
        <w:bottom w:val="none" w:sz="0" w:space="0" w:color="auto"/>
        <w:right w:val="none" w:sz="0" w:space="0" w:color="auto"/>
      </w:divBdr>
    </w:div>
    <w:div w:id="128791711">
      <w:bodyDiv w:val="1"/>
      <w:marLeft w:val="0"/>
      <w:marRight w:val="0"/>
      <w:marTop w:val="0"/>
      <w:marBottom w:val="0"/>
      <w:divBdr>
        <w:top w:val="none" w:sz="0" w:space="0" w:color="auto"/>
        <w:left w:val="none" w:sz="0" w:space="0" w:color="auto"/>
        <w:bottom w:val="none" w:sz="0" w:space="0" w:color="auto"/>
        <w:right w:val="none" w:sz="0" w:space="0" w:color="auto"/>
      </w:divBdr>
    </w:div>
    <w:div w:id="143356407">
      <w:bodyDiv w:val="1"/>
      <w:marLeft w:val="0"/>
      <w:marRight w:val="0"/>
      <w:marTop w:val="0"/>
      <w:marBottom w:val="0"/>
      <w:divBdr>
        <w:top w:val="none" w:sz="0" w:space="0" w:color="auto"/>
        <w:left w:val="none" w:sz="0" w:space="0" w:color="auto"/>
        <w:bottom w:val="none" w:sz="0" w:space="0" w:color="auto"/>
        <w:right w:val="none" w:sz="0" w:space="0" w:color="auto"/>
      </w:divBdr>
      <w:divsChild>
        <w:div w:id="957104870">
          <w:marLeft w:val="0"/>
          <w:marRight w:val="0"/>
          <w:marTop w:val="0"/>
          <w:marBottom w:val="0"/>
          <w:divBdr>
            <w:top w:val="none" w:sz="0" w:space="0" w:color="auto"/>
            <w:left w:val="none" w:sz="0" w:space="0" w:color="auto"/>
            <w:bottom w:val="none" w:sz="0" w:space="0" w:color="auto"/>
            <w:right w:val="none" w:sz="0" w:space="0" w:color="auto"/>
          </w:divBdr>
          <w:divsChild>
            <w:div w:id="99372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17274">
      <w:bodyDiv w:val="1"/>
      <w:marLeft w:val="0"/>
      <w:marRight w:val="0"/>
      <w:marTop w:val="0"/>
      <w:marBottom w:val="0"/>
      <w:divBdr>
        <w:top w:val="none" w:sz="0" w:space="0" w:color="auto"/>
        <w:left w:val="none" w:sz="0" w:space="0" w:color="auto"/>
        <w:bottom w:val="none" w:sz="0" w:space="0" w:color="auto"/>
        <w:right w:val="none" w:sz="0" w:space="0" w:color="auto"/>
      </w:divBdr>
      <w:divsChild>
        <w:div w:id="1166245170">
          <w:marLeft w:val="0"/>
          <w:marRight w:val="0"/>
          <w:marTop w:val="0"/>
          <w:marBottom w:val="0"/>
          <w:divBdr>
            <w:top w:val="none" w:sz="0" w:space="0" w:color="auto"/>
            <w:left w:val="none" w:sz="0" w:space="0" w:color="auto"/>
            <w:bottom w:val="none" w:sz="0" w:space="0" w:color="auto"/>
            <w:right w:val="none" w:sz="0" w:space="0" w:color="auto"/>
          </w:divBdr>
          <w:divsChild>
            <w:div w:id="315260595">
              <w:marLeft w:val="0"/>
              <w:marRight w:val="0"/>
              <w:marTop w:val="0"/>
              <w:marBottom w:val="0"/>
              <w:divBdr>
                <w:top w:val="none" w:sz="0" w:space="0" w:color="auto"/>
                <w:left w:val="none" w:sz="0" w:space="0" w:color="auto"/>
                <w:bottom w:val="none" w:sz="0" w:space="0" w:color="auto"/>
                <w:right w:val="none" w:sz="0" w:space="0" w:color="auto"/>
              </w:divBdr>
              <w:divsChild>
                <w:div w:id="1910578816">
                  <w:marLeft w:val="0"/>
                  <w:marRight w:val="0"/>
                  <w:marTop w:val="0"/>
                  <w:marBottom w:val="0"/>
                  <w:divBdr>
                    <w:top w:val="none" w:sz="0" w:space="0" w:color="auto"/>
                    <w:left w:val="none" w:sz="0" w:space="0" w:color="auto"/>
                    <w:bottom w:val="none" w:sz="0" w:space="0" w:color="auto"/>
                    <w:right w:val="none" w:sz="0" w:space="0" w:color="auto"/>
                  </w:divBdr>
                  <w:divsChild>
                    <w:div w:id="12482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548681">
      <w:bodyDiv w:val="1"/>
      <w:marLeft w:val="0"/>
      <w:marRight w:val="0"/>
      <w:marTop w:val="0"/>
      <w:marBottom w:val="0"/>
      <w:divBdr>
        <w:top w:val="none" w:sz="0" w:space="0" w:color="auto"/>
        <w:left w:val="none" w:sz="0" w:space="0" w:color="auto"/>
        <w:bottom w:val="none" w:sz="0" w:space="0" w:color="auto"/>
        <w:right w:val="none" w:sz="0" w:space="0" w:color="auto"/>
      </w:divBdr>
      <w:divsChild>
        <w:div w:id="273829310">
          <w:marLeft w:val="0"/>
          <w:marRight w:val="0"/>
          <w:marTop w:val="0"/>
          <w:marBottom w:val="0"/>
          <w:divBdr>
            <w:top w:val="none" w:sz="0" w:space="0" w:color="auto"/>
            <w:left w:val="none" w:sz="0" w:space="0" w:color="auto"/>
            <w:bottom w:val="none" w:sz="0" w:space="0" w:color="auto"/>
            <w:right w:val="none" w:sz="0" w:space="0" w:color="auto"/>
          </w:divBdr>
          <w:divsChild>
            <w:div w:id="486676005">
              <w:marLeft w:val="0"/>
              <w:marRight w:val="0"/>
              <w:marTop w:val="0"/>
              <w:marBottom w:val="0"/>
              <w:divBdr>
                <w:top w:val="none" w:sz="0" w:space="0" w:color="auto"/>
                <w:left w:val="none" w:sz="0" w:space="0" w:color="auto"/>
                <w:bottom w:val="none" w:sz="0" w:space="0" w:color="auto"/>
                <w:right w:val="none" w:sz="0" w:space="0" w:color="auto"/>
              </w:divBdr>
              <w:divsChild>
                <w:div w:id="6274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386685">
      <w:bodyDiv w:val="1"/>
      <w:marLeft w:val="0"/>
      <w:marRight w:val="0"/>
      <w:marTop w:val="0"/>
      <w:marBottom w:val="0"/>
      <w:divBdr>
        <w:top w:val="none" w:sz="0" w:space="0" w:color="auto"/>
        <w:left w:val="none" w:sz="0" w:space="0" w:color="auto"/>
        <w:bottom w:val="none" w:sz="0" w:space="0" w:color="auto"/>
        <w:right w:val="none" w:sz="0" w:space="0" w:color="auto"/>
      </w:divBdr>
    </w:div>
    <w:div w:id="626084706">
      <w:bodyDiv w:val="1"/>
      <w:marLeft w:val="0"/>
      <w:marRight w:val="0"/>
      <w:marTop w:val="0"/>
      <w:marBottom w:val="0"/>
      <w:divBdr>
        <w:top w:val="none" w:sz="0" w:space="0" w:color="auto"/>
        <w:left w:val="none" w:sz="0" w:space="0" w:color="auto"/>
        <w:bottom w:val="none" w:sz="0" w:space="0" w:color="auto"/>
        <w:right w:val="none" w:sz="0" w:space="0" w:color="auto"/>
      </w:divBdr>
    </w:div>
    <w:div w:id="655112760">
      <w:bodyDiv w:val="1"/>
      <w:marLeft w:val="0"/>
      <w:marRight w:val="0"/>
      <w:marTop w:val="0"/>
      <w:marBottom w:val="0"/>
      <w:divBdr>
        <w:top w:val="none" w:sz="0" w:space="0" w:color="auto"/>
        <w:left w:val="none" w:sz="0" w:space="0" w:color="auto"/>
        <w:bottom w:val="none" w:sz="0" w:space="0" w:color="auto"/>
        <w:right w:val="none" w:sz="0" w:space="0" w:color="auto"/>
      </w:divBdr>
    </w:div>
    <w:div w:id="699279205">
      <w:bodyDiv w:val="1"/>
      <w:marLeft w:val="0"/>
      <w:marRight w:val="0"/>
      <w:marTop w:val="0"/>
      <w:marBottom w:val="0"/>
      <w:divBdr>
        <w:top w:val="none" w:sz="0" w:space="0" w:color="auto"/>
        <w:left w:val="none" w:sz="0" w:space="0" w:color="auto"/>
        <w:bottom w:val="none" w:sz="0" w:space="0" w:color="auto"/>
        <w:right w:val="none" w:sz="0" w:space="0" w:color="auto"/>
      </w:divBdr>
    </w:div>
    <w:div w:id="828979073">
      <w:bodyDiv w:val="1"/>
      <w:marLeft w:val="0"/>
      <w:marRight w:val="0"/>
      <w:marTop w:val="0"/>
      <w:marBottom w:val="0"/>
      <w:divBdr>
        <w:top w:val="none" w:sz="0" w:space="0" w:color="auto"/>
        <w:left w:val="none" w:sz="0" w:space="0" w:color="auto"/>
        <w:bottom w:val="none" w:sz="0" w:space="0" w:color="auto"/>
        <w:right w:val="none" w:sz="0" w:space="0" w:color="auto"/>
      </w:divBdr>
    </w:div>
    <w:div w:id="889340464">
      <w:bodyDiv w:val="1"/>
      <w:marLeft w:val="0"/>
      <w:marRight w:val="0"/>
      <w:marTop w:val="0"/>
      <w:marBottom w:val="0"/>
      <w:divBdr>
        <w:top w:val="none" w:sz="0" w:space="0" w:color="auto"/>
        <w:left w:val="none" w:sz="0" w:space="0" w:color="auto"/>
        <w:bottom w:val="none" w:sz="0" w:space="0" w:color="auto"/>
        <w:right w:val="none" w:sz="0" w:space="0" w:color="auto"/>
      </w:divBdr>
    </w:div>
    <w:div w:id="895700789">
      <w:bodyDiv w:val="1"/>
      <w:marLeft w:val="0"/>
      <w:marRight w:val="0"/>
      <w:marTop w:val="0"/>
      <w:marBottom w:val="0"/>
      <w:divBdr>
        <w:top w:val="none" w:sz="0" w:space="0" w:color="auto"/>
        <w:left w:val="none" w:sz="0" w:space="0" w:color="auto"/>
        <w:bottom w:val="none" w:sz="0" w:space="0" w:color="auto"/>
        <w:right w:val="none" w:sz="0" w:space="0" w:color="auto"/>
      </w:divBdr>
    </w:div>
    <w:div w:id="965042941">
      <w:bodyDiv w:val="1"/>
      <w:marLeft w:val="0"/>
      <w:marRight w:val="0"/>
      <w:marTop w:val="0"/>
      <w:marBottom w:val="0"/>
      <w:divBdr>
        <w:top w:val="none" w:sz="0" w:space="0" w:color="auto"/>
        <w:left w:val="none" w:sz="0" w:space="0" w:color="auto"/>
        <w:bottom w:val="none" w:sz="0" w:space="0" w:color="auto"/>
        <w:right w:val="none" w:sz="0" w:space="0" w:color="auto"/>
      </w:divBdr>
      <w:divsChild>
        <w:div w:id="538393178">
          <w:marLeft w:val="0"/>
          <w:marRight w:val="0"/>
          <w:marTop w:val="0"/>
          <w:marBottom w:val="0"/>
          <w:divBdr>
            <w:top w:val="none" w:sz="0" w:space="0" w:color="auto"/>
            <w:left w:val="none" w:sz="0" w:space="0" w:color="auto"/>
            <w:bottom w:val="none" w:sz="0" w:space="0" w:color="auto"/>
            <w:right w:val="none" w:sz="0" w:space="0" w:color="auto"/>
          </w:divBdr>
          <w:divsChild>
            <w:div w:id="1019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100698">
      <w:bodyDiv w:val="1"/>
      <w:marLeft w:val="0"/>
      <w:marRight w:val="0"/>
      <w:marTop w:val="0"/>
      <w:marBottom w:val="0"/>
      <w:divBdr>
        <w:top w:val="none" w:sz="0" w:space="0" w:color="auto"/>
        <w:left w:val="none" w:sz="0" w:space="0" w:color="auto"/>
        <w:bottom w:val="none" w:sz="0" w:space="0" w:color="auto"/>
        <w:right w:val="none" w:sz="0" w:space="0" w:color="auto"/>
      </w:divBdr>
    </w:div>
    <w:div w:id="1086539311">
      <w:bodyDiv w:val="1"/>
      <w:marLeft w:val="0"/>
      <w:marRight w:val="0"/>
      <w:marTop w:val="0"/>
      <w:marBottom w:val="0"/>
      <w:divBdr>
        <w:top w:val="none" w:sz="0" w:space="0" w:color="auto"/>
        <w:left w:val="none" w:sz="0" w:space="0" w:color="auto"/>
        <w:bottom w:val="none" w:sz="0" w:space="0" w:color="auto"/>
        <w:right w:val="none" w:sz="0" w:space="0" w:color="auto"/>
      </w:divBdr>
    </w:div>
    <w:div w:id="1086999732">
      <w:bodyDiv w:val="1"/>
      <w:marLeft w:val="0"/>
      <w:marRight w:val="0"/>
      <w:marTop w:val="0"/>
      <w:marBottom w:val="0"/>
      <w:divBdr>
        <w:top w:val="none" w:sz="0" w:space="0" w:color="auto"/>
        <w:left w:val="none" w:sz="0" w:space="0" w:color="auto"/>
        <w:bottom w:val="none" w:sz="0" w:space="0" w:color="auto"/>
        <w:right w:val="none" w:sz="0" w:space="0" w:color="auto"/>
      </w:divBdr>
    </w:div>
    <w:div w:id="1381901310">
      <w:bodyDiv w:val="1"/>
      <w:marLeft w:val="0"/>
      <w:marRight w:val="0"/>
      <w:marTop w:val="0"/>
      <w:marBottom w:val="0"/>
      <w:divBdr>
        <w:top w:val="none" w:sz="0" w:space="0" w:color="auto"/>
        <w:left w:val="none" w:sz="0" w:space="0" w:color="auto"/>
        <w:bottom w:val="none" w:sz="0" w:space="0" w:color="auto"/>
        <w:right w:val="none" w:sz="0" w:space="0" w:color="auto"/>
      </w:divBdr>
    </w:div>
    <w:div w:id="1568226481">
      <w:bodyDiv w:val="1"/>
      <w:marLeft w:val="0"/>
      <w:marRight w:val="0"/>
      <w:marTop w:val="0"/>
      <w:marBottom w:val="0"/>
      <w:divBdr>
        <w:top w:val="none" w:sz="0" w:space="0" w:color="auto"/>
        <w:left w:val="none" w:sz="0" w:space="0" w:color="auto"/>
        <w:bottom w:val="none" w:sz="0" w:space="0" w:color="auto"/>
        <w:right w:val="none" w:sz="0" w:space="0" w:color="auto"/>
      </w:divBdr>
    </w:div>
    <w:div w:id="1592853517">
      <w:bodyDiv w:val="1"/>
      <w:marLeft w:val="0"/>
      <w:marRight w:val="0"/>
      <w:marTop w:val="0"/>
      <w:marBottom w:val="0"/>
      <w:divBdr>
        <w:top w:val="none" w:sz="0" w:space="0" w:color="auto"/>
        <w:left w:val="none" w:sz="0" w:space="0" w:color="auto"/>
        <w:bottom w:val="none" w:sz="0" w:space="0" w:color="auto"/>
        <w:right w:val="none" w:sz="0" w:space="0" w:color="auto"/>
      </w:divBdr>
    </w:div>
    <w:div w:id="1614704026">
      <w:bodyDiv w:val="1"/>
      <w:marLeft w:val="0"/>
      <w:marRight w:val="0"/>
      <w:marTop w:val="0"/>
      <w:marBottom w:val="0"/>
      <w:divBdr>
        <w:top w:val="none" w:sz="0" w:space="0" w:color="auto"/>
        <w:left w:val="none" w:sz="0" w:space="0" w:color="auto"/>
        <w:bottom w:val="none" w:sz="0" w:space="0" w:color="auto"/>
        <w:right w:val="none" w:sz="0" w:space="0" w:color="auto"/>
      </w:divBdr>
      <w:divsChild>
        <w:div w:id="1043211049">
          <w:marLeft w:val="0"/>
          <w:marRight w:val="0"/>
          <w:marTop w:val="0"/>
          <w:marBottom w:val="0"/>
          <w:divBdr>
            <w:top w:val="none" w:sz="0" w:space="0" w:color="auto"/>
            <w:left w:val="none" w:sz="0" w:space="0" w:color="auto"/>
            <w:bottom w:val="none" w:sz="0" w:space="0" w:color="auto"/>
            <w:right w:val="none" w:sz="0" w:space="0" w:color="auto"/>
          </w:divBdr>
          <w:divsChild>
            <w:div w:id="92407630">
              <w:marLeft w:val="0"/>
              <w:marRight w:val="0"/>
              <w:marTop w:val="0"/>
              <w:marBottom w:val="0"/>
              <w:divBdr>
                <w:top w:val="none" w:sz="0" w:space="0" w:color="auto"/>
                <w:left w:val="none" w:sz="0" w:space="0" w:color="auto"/>
                <w:bottom w:val="none" w:sz="0" w:space="0" w:color="auto"/>
                <w:right w:val="none" w:sz="0" w:space="0" w:color="auto"/>
              </w:divBdr>
              <w:divsChild>
                <w:div w:id="17053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4487">
      <w:bodyDiv w:val="1"/>
      <w:marLeft w:val="0"/>
      <w:marRight w:val="0"/>
      <w:marTop w:val="0"/>
      <w:marBottom w:val="0"/>
      <w:divBdr>
        <w:top w:val="none" w:sz="0" w:space="0" w:color="auto"/>
        <w:left w:val="none" w:sz="0" w:space="0" w:color="auto"/>
        <w:bottom w:val="none" w:sz="0" w:space="0" w:color="auto"/>
        <w:right w:val="none" w:sz="0" w:space="0" w:color="auto"/>
      </w:divBdr>
    </w:div>
    <w:div w:id="1755665004">
      <w:bodyDiv w:val="1"/>
      <w:marLeft w:val="0"/>
      <w:marRight w:val="0"/>
      <w:marTop w:val="0"/>
      <w:marBottom w:val="0"/>
      <w:divBdr>
        <w:top w:val="none" w:sz="0" w:space="0" w:color="auto"/>
        <w:left w:val="none" w:sz="0" w:space="0" w:color="auto"/>
        <w:bottom w:val="none" w:sz="0" w:space="0" w:color="auto"/>
        <w:right w:val="none" w:sz="0" w:space="0" w:color="auto"/>
      </w:divBdr>
    </w:div>
    <w:div w:id="180724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383</TotalTime>
  <Pages>2</Pages>
  <Words>520</Words>
  <Characters>2965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Maat</cp:lastModifiedBy>
  <cp:revision>99</cp:revision>
  <dcterms:created xsi:type="dcterms:W3CDTF">2024-01-31T22:23:00Z</dcterms:created>
  <dcterms:modified xsi:type="dcterms:W3CDTF">2025-08-24T09:10:00Z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56c2840e-3de4-4d1f-a367-5fa253ef0caf</vt:lpwstr>
  </property>
</Properties>
</file>