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AA8E2" w14:textId="4026513F" w:rsidR="001C617D" w:rsidRPr="001C617D" w:rsidRDefault="001C617D" w:rsidP="001F4D20">
      <w:pPr>
        <w:pBdr>
          <w:bottom w:val="single" w:sz="4" w:space="1" w:color="auto"/>
        </w:pBdr>
        <w:jc w:val="center"/>
        <w:rPr>
          <w:color w:val="FF0000"/>
        </w:rPr>
      </w:pPr>
      <w:r w:rsidRPr="001C617D">
        <w:rPr>
          <w:b/>
          <w:bCs/>
          <w:color w:val="FF0000"/>
        </w:rPr>
        <w:t xml:space="preserve">Statement by </w:t>
      </w:r>
      <w:bookmarkStart w:id="0" w:name="OLE_LINK9"/>
      <w:r w:rsidRPr="001C617D">
        <w:rPr>
          <w:b/>
          <w:bCs/>
          <w:color w:val="FF0000"/>
        </w:rPr>
        <w:t xml:space="preserve">Partners for Transparency </w:t>
      </w:r>
      <w:bookmarkEnd w:id="0"/>
      <w:r w:rsidRPr="001C617D">
        <w:rPr>
          <w:b/>
          <w:bCs/>
          <w:color w:val="FF0000"/>
        </w:rPr>
        <w:t>on Effective Implementation</w:t>
      </w:r>
      <w:r w:rsidRPr="001C617D">
        <w:rPr>
          <w:color w:val="FF0000"/>
        </w:rPr>
        <w:br/>
      </w:r>
      <w:r w:rsidR="001F4D20">
        <w:rPr>
          <w:i/>
          <w:iCs/>
          <w:color w:val="FF0000"/>
        </w:rPr>
        <w:t>25 August, 2026</w:t>
      </w:r>
    </w:p>
    <w:p w14:paraId="22DDE076" w14:textId="2FEA7C8B" w:rsidR="001C617D" w:rsidRPr="001C617D" w:rsidRDefault="001F4D20" w:rsidP="001C617D">
      <w:pPr>
        <w:jc w:val="both"/>
      </w:pPr>
      <w:r>
        <w:rPr>
          <w:b/>
          <w:bCs/>
        </w:rPr>
        <w:t>Thank you for Giving me the floor</w:t>
      </w:r>
      <w:r w:rsidR="001C617D" w:rsidRPr="001C617D">
        <w:rPr>
          <w:b/>
          <w:bCs/>
        </w:rPr>
        <w:t>,</w:t>
      </w:r>
    </w:p>
    <w:p w14:paraId="34F8DA2C" w14:textId="77777777" w:rsidR="001C617D" w:rsidRPr="001C617D" w:rsidRDefault="001C617D" w:rsidP="001C617D">
      <w:pPr>
        <w:jc w:val="both"/>
      </w:pPr>
      <w:r w:rsidRPr="001C617D">
        <w:t>Transparency and the availability of information are the essential foundation that enables States to undertake objective, rigorous risk assessments for arms transfers. Without reliable and up-to-date information flows, exporting States are unable to verify the likelihood that weapons will be used to commit serious violations or be diverted.</w:t>
      </w:r>
    </w:p>
    <w:p w14:paraId="49D69284" w14:textId="3A61C2A3" w:rsidR="001C617D" w:rsidRPr="001C617D" w:rsidRDefault="001C617D" w:rsidP="001C617D">
      <w:pPr>
        <w:jc w:val="both"/>
      </w:pPr>
      <w:r w:rsidRPr="001C617D">
        <w:t>States are required to prevent any transfer when they know that the arms will be used to commit genocide or war crimes</w:t>
      </w:r>
      <w:r>
        <w:t xml:space="preserve">, </w:t>
      </w:r>
      <w:r w:rsidRPr="001C617D">
        <w:t xml:space="preserve">an obligation that </w:t>
      </w:r>
      <w:r w:rsidRPr="001C617D">
        <w:rPr>
          <w:b/>
          <w:bCs/>
        </w:rPr>
        <w:t>necessitates full transparency regarding the identity of the end user and the final destination, to avoid clandestine transactions.</w:t>
      </w:r>
    </w:p>
    <w:p w14:paraId="47BFA533" w14:textId="77777777" w:rsidR="001C617D" w:rsidRPr="001C617D" w:rsidRDefault="001C617D" w:rsidP="001C617D">
      <w:pPr>
        <w:jc w:val="both"/>
        <w:rPr>
          <w:b/>
          <w:bCs/>
        </w:rPr>
      </w:pPr>
      <w:r w:rsidRPr="001C617D">
        <w:t xml:space="preserve">These obligations are further complemented by the need for exporting States to assess whether the arms will contribute to undermining peace and security. For such a “substantive risk” determination to be made accurately, the provision of information by </w:t>
      </w:r>
      <w:r w:rsidRPr="001C617D">
        <w:rPr>
          <w:b/>
          <w:bCs/>
        </w:rPr>
        <w:t>importing States and civil society is the only practical tool.</w:t>
      </w:r>
    </w:p>
    <w:p w14:paraId="1E3167CD" w14:textId="63606198" w:rsidR="001C617D" w:rsidRPr="001C617D" w:rsidRDefault="001C617D" w:rsidP="001C617D">
      <w:pPr>
        <w:jc w:val="both"/>
      </w:pPr>
      <w:r w:rsidRPr="001C617D">
        <w:t xml:space="preserve">From a practical perspective, the Ukrainian case has faced real and complex challenges at the outset of the 2022 conflict. </w:t>
      </w:r>
      <w:r w:rsidRPr="001C617D">
        <w:rPr>
          <w:b/>
          <w:bCs/>
        </w:rPr>
        <w:t>These included the difficulty of field-level tracking of the flow of small arms and light weapons in the absence of digital traceability mechanisms; historically entrenched structural corruption in the defence sector requiring ongoing reforms; and intelligence reporting warnings about the risk of diversion</w:t>
      </w:r>
      <w:r w:rsidRPr="001C617D">
        <w:t xml:space="preserve"> to black markets and organized crime.</w:t>
      </w:r>
      <w:r w:rsidR="005B34B8">
        <w:rPr>
          <w:rStyle w:val="FootnoteReference"/>
        </w:rPr>
        <w:footnoteReference w:id="1"/>
      </w:r>
      <w:r w:rsidR="005B34B8">
        <w:rPr>
          <w:rStyle w:val="FootnoteReference"/>
        </w:rPr>
        <w:footnoteReference w:id="2"/>
      </w:r>
    </w:p>
    <w:p w14:paraId="6867E7E1" w14:textId="77777777" w:rsidR="001C617D" w:rsidRPr="001C617D" w:rsidRDefault="001C617D" w:rsidP="001C617D">
      <w:pPr>
        <w:jc w:val="both"/>
        <w:rPr>
          <w:b/>
          <w:bCs/>
        </w:rPr>
      </w:pPr>
      <w:r w:rsidRPr="001C617D">
        <w:t xml:space="preserve">Nevertheless, the Ukrainian context provides a salient example of how information flows can be strengthened through oversight mechanisms by developing advanced </w:t>
      </w:r>
      <w:r w:rsidRPr="001C617D">
        <w:rPr>
          <w:b/>
          <w:bCs/>
        </w:rPr>
        <w:t>digital tracking and joint monitoring systems. It also helps address concerns about leakage by making logistical data available to donors and monitors, reinforcing the understanding that transparency is a continuous oversight process that updates risk assessments based on field conduct.</w:t>
      </w:r>
    </w:p>
    <w:p w14:paraId="75379CB8" w14:textId="6F88F1EA" w:rsidR="001C617D" w:rsidRPr="001C617D" w:rsidRDefault="001C617D" w:rsidP="001C617D">
      <w:pPr>
        <w:jc w:val="both"/>
      </w:pPr>
      <w:r w:rsidRPr="001C617D">
        <w:t xml:space="preserve">To strengthen transparency in the implementation of the Arms Trade Treaty, </w:t>
      </w:r>
      <w:r>
        <w:t>Partners for Transparency</w:t>
      </w:r>
      <w:r w:rsidRPr="001C617D">
        <w:t xml:space="preserve"> proposes the following measures:</w:t>
      </w:r>
    </w:p>
    <w:p w14:paraId="718433F4" w14:textId="72E40397" w:rsidR="001C617D" w:rsidRPr="001C617D" w:rsidRDefault="001C617D" w:rsidP="001C617D">
      <w:pPr>
        <w:numPr>
          <w:ilvl w:val="0"/>
          <w:numId w:val="1"/>
        </w:numPr>
        <w:tabs>
          <w:tab w:val="clear" w:pos="360"/>
          <w:tab w:val="num" w:pos="720"/>
        </w:tabs>
        <w:jc w:val="both"/>
      </w:pPr>
      <w:r w:rsidRPr="001C617D">
        <w:rPr>
          <w:b/>
          <w:bCs/>
        </w:rPr>
        <w:lastRenderedPageBreak/>
        <w:t>Establish a unified international digital system</w:t>
      </w:r>
      <w:r w:rsidRPr="001C617D">
        <w:t xml:space="preserve"> and an encrypted cloud database consolidating exporting States, importing States, and transit States. Such a system would function as a centralized mechanism for the real-time and secure exchange of shipment and logistics data, enabling near-instant auditing of export licences, shipping routes, and end-user certificates</w:t>
      </w:r>
      <w:r w:rsidR="005B34B8">
        <w:t xml:space="preserve">, </w:t>
      </w:r>
      <w:r w:rsidRPr="001C617D">
        <w:t>thereby eliminating timing gaps and “blind spots” exploited by smuggling networks and covert operations.</w:t>
      </w:r>
    </w:p>
    <w:p w14:paraId="77CA143E" w14:textId="77777777" w:rsidR="001C617D" w:rsidRPr="001C617D" w:rsidRDefault="001C617D" w:rsidP="001C617D">
      <w:pPr>
        <w:numPr>
          <w:ilvl w:val="0"/>
          <w:numId w:val="1"/>
        </w:numPr>
        <w:tabs>
          <w:tab w:val="clear" w:pos="360"/>
          <w:tab w:val="num" w:pos="720"/>
        </w:tabs>
        <w:jc w:val="both"/>
      </w:pPr>
      <w:r w:rsidRPr="001C617D">
        <w:rPr>
          <w:b/>
          <w:bCs/>
        </w:rPr>
        <w:t>Strengthen the role of defence committees in parliaments</w:t>
      </w:r>
      <w:r w:rsidRPr="001C617D">
        <w:t xml:space="preserve"> by ensuring review and scrutiny of major arms deals prior to approval, to verify alignment with international humanitarian standards. This should include the official and structured participation of independent civil society organizations, including the use of their field reports on violations as a key input for risk assessment under Article 7.</w:t>
      </w:r>
    </w:p>
    <w:p w14:paraId="1E77916D" w14:textId="77777777" w:rsidR="001C617D" w:rsidRPr="001C617D" w:rsidRDefault="001C617D" w:rsidP="001C617D">
      <w:pPr>
        <w:numPr>
          <w:ilvl w:val="0"/>
          <w:numId w:val="1"/>
        </w:numPr>
        <w:tabs>
          <w:tab w:val="clear" w:pos="360"/>
          <w:tab w:val="num" w:pos="720"/>
        </w:tabs>
        <w:jc w:val="both"/>
      </w:pPr>
      <w:r w:rsidRPr="001C617D">
        <w:rPr>
          <w:b/>
          <w:bCs/>
        </w:rPr>
        <w:t>Create a single national coordination mechanism within each State</w:t>
      </w:r>
      <w:r w:rsidRPr="001C617D">
        <w:t>, bringing together all relevant agencies, including Ministries of Defence and Foreign Affairs, intelligence services, customs authorities, and financial intelligence units, to enable the real-time electronic sharing and interconnection of arms licensing data and related movements.</w:t>
      </w:r>
    </w:p>
    <w:p w14:paraId="6C12C2A9" w14:textId="77777777" w:rsidR="001C617D" w:rsidRPr="001C617D" w:rsidRDefault="001C617D" w:rsidP="001C617D">
      <w:pPr>
        <w:numPr>
          <w:ilvl w:val="0"/>
          <w:numId w:val="1"/>
        </w:numPr>
        <w:tabs>
          <w:tab w:val="clear" w:pos="360"/>
          <w:tab w:val="num" w:pos="720"/>
        </w:tabs>
        <w:jc w:val="both"/>
      </w:pPr>
      <w:r w:rsidRPr="001C617D">
        <w:rPr>
          <w:b/>
          <w:bCs/>
        </w:rPr>
        <w:t>Conclude mandatory information-sharing protocols</w:t>
      </w:r>
      <w:r w:rsidRPr="001C617D">
        <w:t xml:space="preserve"> among the agencies of exporting States, importing States, and transit States. These protocols would ensure that each stage of shipping is systematically recorded and documented, and that final destination verification is carried out. This operational integration would enhance “early warning” capacities and help dry up sources of suspicious and clandestine activity attempting to circumvent the obligations of the Arms Trade Treaty.</w:t>
      </w:r>
    </w:p>
    <w:p w14:paraId="26C2B2D9" w14:textId="2D37E7DE" w:rsidR="001C617D" w:rsidRPr="001C617D" w:rsidRDefault="001C617D" w:rsidP="001C617D">
      <w:pPr>
        <w:jc w:val="both"/>
      </w:pPr>
      <w:r w:rsidRPr="001C617D">
        <w:t>Thank you,</w:t>
      </w:r>
    </w:p>
    <w:p w14:paraId="4BA73D58" w14:textId="77777777" w:rsidR="001C617D" w:rsidRDefault="001C617D" w:rsidP="001C617D">
      <w:pPr>
        <w:jc w:val="both"/>
      </w:pPr>
    </w:p>
    <w:sectPr w:rsidR="001C617D">
      <w:headerReference w:type="default" r:id="rId7"/>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2C8CB0" w14:textId="77777777" w:rsidR="00665EFA" w:rsidRDefault="00665EFA" w:rsidP="001C617D">
      <w:pPr>
        <w:spacing w:after="0" w:line="240" w:lineRule="auto"/>
      </w:pPr>
      <w:r>
        <w:separator/>
      </w:r>
    </w:p>
  </w:endnote>
  <w:endnote w:type="continuationSeparator" w:id="0">
    <w:p w14:paraId="53A6E273" w14:textId="77777777" w:rsidR="00665EFA" w:rsidRDefault="00665EFA" w:rsidP="001C61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FE95A4" w14:textId="77777777" w:rsidR="00665EFA" w:rsidRDefault="00665EFA" w:rsidP="001C617D">
      <w:pPr>
        <w:spacing w:after="0" w:line="240" w:lineRule="auto"/>
      </w:pPr>
      <w:r>
        <w:separator/>
      </w:r>
    </w:p>
  </w:footnote>
  <w:footnote w:type="continuationSeparator" w:id="0">
    <w:p w14:paraId="1B285299" w14:textId="77777777" w:rsidR="00665EFA" w:rsidRDefault="00665EFA" w:rsidP="001C617D">
      <w:pPr>
        <w:spacing w:after="0" w:line="240" w:lineRule="auto"/>
      </w:pPr>
      <w:r>
        <w:continuationSeparator/>
      </w:r>
    </w:p>
  </w:footnote>
  <w:footnote w:id="1">
    <w:p w14:paraId="0380BB2E" w14:textId="2ABE58C6" w:rsidR="005B34B8" w:rsidRDefault="005B34B8">
      <w:pPr>
        <w:pStyle w:val="FootnoteText"/>
      </w:pPr>
      <w:r>
        <w:rPr>
          <w:rStyle w:val="FootnoteReference"/>
        </w:rPr>
        <w:footnoteRef/>
      </w:r>
      <w:r>
        <w:t xml:space="preserve"> </w:t>
      </w:r>
    </w:p>
  </w:footnote>
  <w:footnote w:id="2">
    <w:p w14:paraId="038CF0DE" w14:textId="369ACC35" w:rsidR="005B34B8" w:rsidRDefault="005B34B8">
      <w:pPr>
        <w:pStyle w:val="FootnoteText"/>
      </w:pPr>
      <w:r>
        <w:rPr>
          <w:rStyle w:val="FootnoteReference"/>
        </w:rPr>
        <w:footnoteRef/>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71A5A" w14:textId="3064AD5B" w:rsidR="00666559" w:rsidRDefault="00666559" w:rsidP="00666559">
    <w:pPr>
      <w:pStyle w:val="Header"/>
      <w:jc w:val="right"/>
      <w:rPr>
        <w:b/>
        <w:bCs/>
        <w:rtl/>
      </w:rPr>
    </w:pPr>
    <w:r>
      <w:rPr>
        <w:b/>
        <w:bCs/>
        <w:noProof/>
        <w:rtl/>
        <w:lang w:val="ar-SA"/>
      </w:rPr>
      <w:drawing>
        <wp:inline distT="0" distB="0" distL="0" distR="0" wp14:anchorId="215B57A0" wp14:editId="700B1206">
          <wp:extent cx="1038225" cy="1077256"/>
          <wp:effectExtent l="0" t="0" r="0" b="8890"/>
          <wp:docPr id="8699019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901938" name="Picture 869901938"/>
                  <pic:cNvPicPr/>
                </pic:nvPicPr>
                <pic:blipFill>
                  <a:blip r:embed="rId1">
                    <a:extLst>
                      <a:ext uri="{28A0092B-C50C-407E-A947-70E740481C1C}">
                        <a14:useLocalDpi xmlns:a14="http://schemas.microsoft.com/office/drawing/2010/main" val="0"/>
                      </a:ext>
                    </a:extLst>
                  </a:blip>
                  <a:stretch>
                    <a:fillRect/>
                  </a:stretch>
                </pic:blipFill>
                <pic:spPr>
                  <a:xfrm>
                    <a:off x="0" y="0"/>
                    <a:ext cx="1041161" cy="1080303"/>
                  </a:xfrm>
                  <a:prstGeom prst="rect">
                    <a:avLst/>
                  </a:prstGeom>
                </pic:spPr>
              </pic:pic>
            </a:graphicData>
          </a:graphic>
        </wp:inline>
      </w:drawing>
    </w:r>
  </w:p>
  <w:p w14:paraId="7A5D5411" w14:textId="3AC3F627" w:rsidR="001C617D" w:rsidRDefault="001C617D" w:rsidP="001C617D">
    <w:pPr>
      <w:pStyle w:val="Header"/>
      <w:rPr>
        <w:b/>
        <w:bCs/>
      </w:rPr>
    </w:pPr>
    <w:r w:rsidRPr="001C617D">
      <w:rPr>
        <w:b/>
        <w:bCs/>
      </w:rPr>
      <w:t>ATT CSP11</w:t>
    </w:r>
  </w:p>
  <w:p w14:paraId="4F8081A7" w14:textId="77777777" w:rsidR="001C617D" w:rsidRPr="001C617D" w:rsidRDefault="001C617D" w:rsidP="001C617D">
    <w:pPr>
      <w:pStyle w:val="Header"/>
    </w:pPr>
    <w:r w:rsidRPr="001C617D">
      <w:rPr>
        <w:b/>
        <w:bCs/>
      </w:rPr>
      <w:t>Geneva, 25–29 August 2026</w:t>
    </w:r>
  </w:p>
  <w:p w14:paraId="0E3CB80F" w14:textId="77777777" w:rsidR="001C617D" w:rsidRDefault="001C617D" w:rsidP="001C61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54078E"/>
    <w:multiLevelType w:val="multilevel"/>
    <w:tmpl w:val="F612B52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669226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617D"/>
    <w:rsid w:val="001C617D"/>
    <w:rsid w:val="001F4D20"/>
    <w:rsid w:val="002C25A4"/>
    <w:rsid w:val="0055698D"/>
    <w:rsid w:val="005B34B8"/>
    <w:rsid w:val="00665EFA"/>
    <w:rsid w:val="00666559"/>
    <w:rsid w:val="006B4A10"/>
    <w:rsid w:val="00890CCE"/>
    <w:rsid w:val="00D31CA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9D94A4"/>
  <w15:chartTrackingRefBased/>
  <w15:docId w15:val="{2C819F82-6AC0-470C-8DE6-281C26BF1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C61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C61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C617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C617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C617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C61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61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61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61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61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C61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C61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C61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C61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C61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61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61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617D"/>
    <w:rPr>
      <w:rFonts w:eastAsiaTheme="majorEastAsia" w:cstheme="majorBidi"/>
      <w:color w:val="272727" w:themeColor="text1" w:themeTint="D8"/>
    </w:rPr>
  </w:style>
  <w:style w:type="paragraph" w:styleId="Title">
    <w:name w:val="Title"/>
    <w:basedOn w:val="Normal"/>
    <w:next w:val="Normal"/>
    <w:link w:val="TitleChar"/>
    <w:uiPriority w:val="10"/>
    <w:qFormat/>
    <w:rsid w:val="001C61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61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61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61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617D"/>
    <w:pPr>
      <w:spacing w:before="160"/>
      <w:jc w:val="center"/>
    </w:pPr>
    <w:rPr>
      <w:i/>
      <w:iCs/>
      <w:color w:val="404040" w:themeColor="text1" w:themeTint="BF"/>
    </w:rPr>
  </w:style>
  <w:style w:type="character" w:customStyle="1" w:styleId="QuoteChar">
    <w:name w:val="Quote Char"/>
    <w:basedOn w:val="DefaultParagraphFont"/>
    <w:link w:val="Quote"/>
    <w:uiPriority w:val="29"/>
    <w:rsid w:val="001C617D"/>
    <w:rPr>
      <w:i/>
      <w:iCs/>
      <w:color w:val="404040" w:themeColor="text1" w:themeTint="BF"/>
    </w:rPr>
  </w:style>
  <w:style w:type="paragraph" w:styleId="ListParagraph">
    <w:name w:val="List Paragraph"/>
    <w:basedOn w:val="Normal"/>
    <w:uiPriority w:val="34"/>
    <w:qFormat/>
    <w:rsid w:val="001C617D"/>
    <w:pPr>
      <w:ind w:left="720"/>
      <w:contextualSpacing/>
    </w:pPr>
  </w:style>
  <w:style w:type="character" w:styleId="IntenseEmphasis">
    <w:name w:val="Intense Emphasis"/>
    <w:basedOn w:val="DefaultParagraphFont"/>
    <w:uiPriority w:val="21"/>
    <w:qFormat/>
    <w:rsid w:val="001C617D"/>
    <w:rPr>
      <w:i/>
      <w:iCs/>
      <w:color w:val="0F4761" w:themeColor="accent1" w:themeShade="BF"/>
    </w:rPr>
  </w:style>
  <w:style w:type="paragraph" w:styleId="IntenseQuote">
    <w:name w:val="Intense Quote"/>
    <w:basedOn w:val="Normal"/>
    <w:next w:val="Normal"/>
    <w:link w:val="IntenseQuoteChar"/>
    <w:uiPriority w:val="30"/>
    <w:qFormat/>
    <w:rsid w:val="001C61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617D"/>
    <w:rPr>
      <w:i/>
      <w:iCs/>
      <w:color w:val="0F4761" w:themeColor="accent1" w:themeShade="BF"/>
    </w:rPr>
  </w:style>
  <w:style w:type="character" w:styleId="IntenseReference">
    <w:name w:val="Intense Reference"/>
    <w:basedOn w:val="DefaultParagraphFont"/>
    <w:uiPriority w:val="32"/>
    <w:qFormat/>
    <w:rsid w:val="001C617D"/>
    <w:rPr>
      <w:b/>
      <w:bCs/>
      <w:smallCaps/>
      <w:color w:val="0F4761" w:themeColor="accent1" w:themeShade="BF"/>
      <w:spacing w:val="5"/>
    </w:rPr>
  </w:style>
  <w:style w:type="paragraph" w:styleId="Header">
    <w:name w:val="header"/>
    <w:basedOn w:val="Normal"/>
    <w:link w:val="HeaderChar"/>
    <w:uiPriority w:val="99"/>
    <w:unhideWhenUsed/>
    <w:rsid w:val="001C61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617D"/>
  </w:style>
  <w:style w:type="paragraph" w:styleId="Footer">
    <w:name w:val="footer"/>
    <w:basedOn w:val="Normal"/>
    <w:link w:val="FooterChar"/>
    <w:uiPriority w:val="99"/>
    <w:unhideWhenUsed/>
    <w:rsid w:val="001C61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617D"/>
  </w:style>
  <w:style w:type="paragraph" w:styleId="FootnoteText">
    <w:name w:val="footnote text"/>
    <w:basedOn w:val="Normal"/>
    <w:link w:val="FootnoteTextChar"/>
    <w:uiPriority w:val="99"/>
    <w:semiHidden/>
    <w:unhideWhenUsed/>
    <w:rsid w:val="005B34B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B34B8"/>
    <w:rPr>
      <w:sz w:val="20"/>
      <w:szCs w:val="20"/>
    </w:rPr>
  </w:style>
  <w:style w:type="character" w:styleId="FootnoteReference">
    <w:name w:val="footnote reference"/>
    <w:basedOn w:val="DefaultParagraphFont"/>
    <w:uiPriority w:val="99"/>
    <w:semiHidden/>
    <w:unhideWhenUsed/>
    <w:rsid w:val="005B34B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67197">
      <w:bodyDiv w:val="1"/>
      <w:marLeft w:val="0"/>
      <w:marRight w:val="0"/>
      <w:marTop w:val="0"/>
      <w:marBottom w:val="0"/>
      <w:divBdr>
        <w:top w:val="none" w:sz="0" w:space="0" w:color="auto"/>
        <w:left w:val="none" w:sz="0" w:space="0" w:color="auto"/>
        <w:bottom w:val="none" w:sz="0" w:space="0" w:color="auto"/>
        <w:right w:val="none" w:sz="0" w:space="0" w:color="auto"/>
      </w:divBdr>
      <w:divsChild>
        <w:div w:id="866287341">
          <w:marLeft w:val="0"/>
          <w:marRight w:val="0"/>
          <w:marTop w:val="0"/>
          <w:marBottom w:val="0"/>
          <w:divBdr>
            <w:top w:val="none" w:sz="0" w:space="0" w:color="auto"/>
            <w:left w:val="none" w:sz="0" w:space="0" w:color="auto"/>
            <w:bottom w:val="none" w:sz="0" w:space="0" w:color="auto"/>
            <w:right w:val="none" w:sz="0" w:space="0" w:color="auto"/>
          </w:divBdr>
        </w:div>
      </w:divsChild>
    </w:div>
    <w:div w:id="465128697">
      <w:bodyDiv w:val="1"/>
      <w:marLeft w:val="0"/>
      <w:marRight w:val="0"/>
      <w:marTop w:val="0"/>
      <w:marBottom w:val="0"/>
      <w:divBdr>
        <w:top w:val="none" w:sz="0" w:space="0" w:color="auto"/>
        <w:left w:val="none" w:sz="0" w:space="0" w:color="auto"/>
        <w:bottom w:val="none" w:sz="0" w:space="0" w:color="auto"/>
        <w:right w:val="none" w:sz="0" w:space="0" w:color="auto"/>
      </w:divBdr>
      <w:divsChild>
        <w:div w:id="835610942">
          <w:marLeft w:val="0"/>
          <w:marRight w:val="0"/>
          <w:marTop w:val="0"/>
          <w:marBottom w:val="0"/>
          <w:divBdr>
            <w:top w:val="none" w:sz="0" w:space="0" w:color="auto"/>
            <w:left w:val="none" w:sz="0" w:space="0" w:color="auto"/>
            <w:bottom w:val="none" w:sz="0" w:space="0" w:color="auto"/>
            <w:right w:val="none" w:sz="0" w:space="0" w:color="auto"/>
          </w:divBdr>
        </w:div>
      </w:divsChild>
    </w:div>
    <w:div w:id="1597132983">
      <w:bodyDiv w:val="1"/>
      <w:marLeft w:val="0"/>
      <w:marRight w:val="0"/>
      <w:marTop w:val="0"/>
      <w:marBottom w:val="0"/>
      <w:divBdr>
        <w:top w:val="none" w:sz="0" w:space="0" w:color="auto"/>
        <w:left w:val="none" w:sz="0" w:space="0" w:color="auto"/>
        <w:bottom w:val="none" w:sz="0" w:space="0" w:color="auto"/>
        <w:right w:val="none" w:sz="0" w:space="0" w:color="auto"/>
      </w:divBdr>
      <w:divsChild>
        <w:div w:id="1459565170">
          <w:marLeft w:val="0"/>
          <w:marRight w:val="0"/>
          <w:marTop w:val="0"/>
          <w:marBottom w:val="0"/>
          <w:divBdr>
            <w:top w:val="none" w:sz="0" w:space="0" w:color="auto"/>
            <w:left w:val="none" w:sz="0" w:space="0" w:color="auto"/>
            <w:bottom w:val="none" w:sz="0" w:space="0" w:color="auto"/>
            <w:right w:val="none" w:sz="0" w:space="0" w:color="auto"/>
          </w:divBdr>
        </w:div>
      </w:divsChild>
    </w:div>
    <w:div w:id="1804424845">
      <w:bodyDiv w:val="1"/>
      <w:marLeft w:val="0"/>
      <w:marRight w:val="0"/>
      <w:marTop w:val="0"/>
      <w:marBottom w:val="0"/>
      <w:divBdr>
        <w:top w:val="none" w:sz="0" w:space="0" w:color="auto"/>
        <w:left w:val="none" w:sz="0" w:space="0" w:color="auto"/>
        <w:bottom w:val="none" w:sz="0" w:space="0" w:color="auto"/>
        <w:right w:val="none" w:sz="0" w:space="0" w:color="auto"/>
      </w:divBdr>
      <w:divsChild>
        <w:div w:id="7224080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F1C8DE1F14EA408AB32AAE07B531EF" ma:contentTypeVersion="13" ma:contentTypeDescription="Create a new document." ma:contentTypeScope="" ma:versionID="97412233bc4de4d4165008af8cd0e430">
  <xsd:schema xmlns:xsd="http://www.w3.org/2001/XMLSchema" xmlns:xs="http://www.w3.org/2001/XMLSchema" xmlns:p="http://schemas.microsoft.com/office/2006/metadata/properties" xmlns:ns2="8f7e922f-a535-42ea-a88a-d2aeb4da5804" xmlns:ns3="dbf86e3e-1e01-4781-b2c1-8f6f9ce39bba" targetNamespace="http://schemas.microsoft.com/office/2006/metadata/properties" ma:root="true" ma:fieldsID="f5791953b3c37987343c58e15ce92ccd" ns2:_="" ns3:_="">
    <xsd:import namespace="8f7e922f-a535-42ea-a88a-d2aeb4da5804"/>
    <xsd:import namespace="dbf86e3e-1e01-4781-b2c1-8f6f9ce39b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7e922f-a535-42ea-a88a-d2aeb4da58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fd2fa76-d9ac-436b-9ac7-bc345fdc3fe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f86e3e-1e01-4781-b2c1-8f6f9ce39b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b477c12-cecd-49fd-9da9-99cc1866cae1}" ma:internalName="TaxCatchAll" ma:showField="CatchAllData" ma:web="dbf86e3e-1e01-4781-b2c1-8f6f9ce39b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bf86e3e-1e01-4781-b2c1-8f6f9ce39bba" xsi:nil="true"/>
    <lcf76f155ced4ddcb4097134ff3c332f xmlns="8f7e922f-a535-42ea-a88a-d2aeb4da580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EE67EE6-BA9C-417A-B6FC-F7953415C3E7}"/>
</file>

<file path=customXml/itemProps2.xml><?xml version="1.0" encoding="utf-8"?>
<ds:datastoreItem xmlns:ds="http://schemas.openxmlformats.org/officeDocument/2006/customXml" ds:itemID="{EB2F9CFB-0586-4F38-87CB-7DD3E34D0819}"/>
</file>

<file path=customXml/itemProps3.xml><?xml version="1.0" encoding="utf-8"?>
<ds:datastoreItem xmlns:ds="http://schemas.openxmlformats.org/officeDocument/2006/customXml" ds:itemID="{CFF25A51-0FF6-402E-9B37-A6A90424B6A4}"/>
</file>

<file path=docProps/app.xml><?xml version="1.0" encoding="utf-8"?>
<Properties xmlns="http://schemas.openxmlformats.org/officeDocument/2006/extended-properties" xmlns:vt="http://schemas.openxmlformats.org/officeDocument/2006/docPropsVTypes">
  <Template>Normal</Template>
  <TotalTime>6</TotalTime>
  <Pages>2</Pages>
  <Words>570</Words>
  <Characters>3255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Manar Ibrahim</dc:creator>
  <cp:keywords/>
  <dc:description/>
  <cp:lastModifiedBy>merna shalash</cp:lastModifiedBy>
  <cp:revision>3</cp:revision>
  <dcterms:created xsi:type="dcterms:W3CDTF">2026-08-19T11:46:00Z</dcterms:created>
  <dcterms:modified xsi:type="dcterms:W3CDTF">2026-08-23T08:59:00Z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1456a99c-9451-4f9c-857c-23194f159a7d</vt:lpwstr>
  </property>
  <property fmtid="{D5CDD505-2E9C-101B-9397-08002B2CF9AE}" pid="3" name="ContentTypeId">
    <vt:lpwstr>0x010100B7F1C8DE1F14EA408AB32AAE07B531EF</vt:lpwstr>
  </property>
</Properties>
</file>