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C2987" w14:textId="77777777" w:rsidR="000D0629" w:rsidRPr="000D0629" w:rsidRDefault="000D0629" w:rsidP="000D0629">
      <w:pPr>
        <w:jc w:val="center"/>
        <w:rPr>
          <w:b/>
          <w:bCs/>
          <w:color w:val="0070C0"/>
        </w:rPr>
      </w:pPr>
      <w:r w:rsidRPr="000D0629">
        <w:rPr>
          <w:b/>
          <w:bCs/>
          <w:color w:val="0070C0"/>
        </w:rPr>
        <w:t>Statement 2: Enhancing Transparency in Arms Transfers to Conflict-Affected States and Preventing Diversion Risks</w:t>
      </w:r>
    </w:p>
    <w:p w14:paraId="662207AB" w14:textId="314F290D" w:rsidR="000D0629" w:rsidRPr="000D0629" w:rsidRDefault="000D0629" w:rsidP="000D0629">
      <w:pPr>
        <w:jc w:val="both"/>
        <w:rPr>
          <w:b/>
          <w:bCs/>
        </w:rPr>
      </w:pPr>
      <w:r w:rsidRPr="000D0629">
        <w:rPr>
          <w:b/>
          <w:bCs/>
        </w:rPr>
        <w:t>Submitted</w:t>
      </w:r>
      <w:r w:rsidRPr="000D0629">
        <w:rPr>
          <w:b/>
          <w:bCs/>
        </w:rPr>
        <w:t xml:space="preserve"> to</w:t>
      </w:r>
      <w:r w:rsidRPr="000D0629">
        <w:rPr>
          <w:b/>
          <w:bCs/>
        </w:rPr>
        <w:t>:</w:t>
      </w:r>
      <w:r w:rsidRPr="000D0629">
        <w:rPr>
          <w:b/>
          <w:bCs/>
        </w:rPr>
        <w:t xml:space="preserve"> Working Group on Transparency and Reporting under </w:t>
      </w:r>
      <w:r w:rsidRPr="000D0629">
        <w:rPr>
          <w:b/>
          <w:bCs/>
        </w:rPr>
        <w:t>ATT</w:t>
      </w:r>
    </w:p>
    <w:p w14:paraId="428D0CFA" w14:textId="77777777" w:rsidR="000D0629" w:rsidRPr="000D0629" w:rsidRDefault="000D0629" w:rsidP="000D0629">
      <w:pPr>
        <w:jc w:val="both"/>
      </w:pPr>
      <w:r w:rsidRPr="000D0629">
        <w:t>Thank you, Mr. Facilitator.</w:t>
      </w:r>
    </w:p>
    <w:p w14:paraId="3837B534" w14:textId="77777777" w:rsidR="000D0629" w:rsidRPr="000D0629" w:rsidRDefault="000D0629" w:rsidP="000D0629">
      <w:pPr>
        <w:jc w:val="both"/>
      </w:pPr>
      <w:r w:rsidRPr="000D0629">
        <w:t>Enhancing transparency in arms transfers to countries suffering from armed conflicts is a fundamental pillar in international efforts to mitigate the escalation of armed conflicts and prevent the diversion of weapons to unauthorized parties or those engaged in serious violations of international human rights law or international humanitarian law.</w:t>
      </w:r>
    </w:p>
    <w:p w14:paraId="4C2F5253" w14:textId="77777777" w:rsidR="000D0629" w:rsidRPr="000D0629" w:rsidRDefault="000D0629" w:rsidP="000D0629">
      <w:pPr>
        <w:jc w:val="both"/>
      </w:pPr>
      <w:r w:rsidRPr="000D0629">
        <w:t>Providing accurate, comprehensive, and publicly accessible information about the types and quantities of weapons transferred to conflict zones allows the international community and stakeholders to assess the associated risks of these operations and take necessary preventive measures to avert the misuse or diversion of arms.</w:t>
      </w:r>
    </w:p>
    <w:p w14:paraId="4E760A1A" w14:textId="7924CB58" w:rsidR="000D0629" w:rsidRPr="000D0629" w:rsidRDefault="000D0629" w:rsidP="000D0629">
      <w:pPr>
        <w:jc w:val="both"/>
      </w:pPr>
      <w:r w:rsidRPr="000D0629">
        <w:t>In this context, the outbreak of armed conflict in Ukraine in February 2022 marked a significant turning point, as arms transfers to Ukrainian government escalated unprecedentedly, making Ukraine, by 2025, the largest arms importer in the world. This reality underscores the urgent need for enhanced transparency regarding arms flows to Ukraine, not only during the conflict but also concerning post-hostilities, ensuring the regulation and prevention of any potential diversion of arms to other conflict zones or unauthorized parties.</w:t>
      </w:r>
    </w:p>
    <w:p w14:paraId="216E5A05" w14:textId="6088347E" w:rsidR="000D0629" w:rsidRPr="000D0629" w:rsidRDefault="000D0629" w:rsidP="000D0629">
      <w:pPr>
        <w:jc w:val="both"/>
      </w:pPr>
      <w:r w:rsidRPr="000D0629">
        <w:t>Despite commitment of several European exporting countries</w:t>
      </w:r>
      <w:r w:rsidR="00F37BC9">
        <w:t xml:space="preserve">, </w:t>
      </w:r>
      <w:r w:rsidRPr="000D0629">
        <w:t>including Czech Republic, Germany, Poland, United Kingdom, Croatia, Denmark, and France</w:t>
      </w:r>
      <w:r w:rsidR="00F37BC9">
        <w:t xml:space="preserve">, </w:t>
      </w:r>
      <w:r w:rsidRPr="000D0629">
        <w:t xml:space="preserve">to submit annual reports under the treaty in 2023, some of these countries have yet to submit their reports for 2024, while others, like Croatia, have restricted public access to their reports. Additionally, several submitted reports lacked adequate information regarding arms exports to Ukraine, representing a shortfall in compliance with </w:t>
      </w:r>
      <w:r w:rsidR="00F37BC9">
        <w:t>ATT</w:t>
      </w:r>
      <w:r w:rsidRPr="000D0629">
        <w:t xml:space="preserve"> transparency principle.</w:t>
      </w:r>
    </w:p>
    <w:p w14:paraId="21802BBD" w14:textId="5679EE56" w:rsidR="000D0629" w:rsidRPr="000D0629" w:rsidRDefault="000D0629" w:rsidP="000D0629">
      <w:pPr>
        <w:jc w:val="both"/>
      </w:pPr>
      <w:r w:rsidRPr="000D0629">
        <w:t>Conversely, reports indicate that weak transparency regarding arms transfers has contributed to illegal diversions, exacerbating conflicts and widespread violations. In Sudan, serious violations of international humanitarian law and human rights law have been documented, perpetrated by Rapid Support Forces using French weapons and Bulgarian-made mortars obtained through illicit means after diversion. This case illustrates how the absence of transparency can lead to severe humanitarian consequences.</w:t>
      </w:r>
    </w:p>
    <w:p w14:paraId="4D1AB4CC" w14:textId="77777777" w:rsidR="000D0629" w:rsidRPr="000D0629" w:rsidRDefault="000D0629" w:rsidP="000D0629">
      <w:pPr>
        <w:jc w:val="both"/>
      </w:pPr>
      <w:r w:rsidRPr="000D0629">
        <w:lastRenderedPageBreak/>
        <w:t>Moreover, Maat for Peace, Development, and Human Rights notes a significant lack of information published by states regarding their assessments of arms export risks, with only very limited data available on this critical aspect of decision-making.</w:t>
      </w:r>
    </w:p>
    <w:p w14:paraId="1496C65C" w14:textId="77777777" w:rsidR="000D0629" w:rsidRPr="000D0629" w:rsidRDefault="000D0629" w:rsidP="000D0629">
      <w:pPr>
        <w:jc w:val="both"/>
        <w:rPr>
          <w:b/>
          <w:bCs/>
        </w:rPr>
      </w:pPr>
      <w:r w:rsidRPr="000D0629">
        <w:rPr>
          <w:b/>
          <w:bCs/>
        </w:rPr>
        <w:t>Accordingly, Maat recommends:</w:t>
      </w:r>
    </w:p>
    <w:p w14:paraId="77447F80" w14:textId="4264CE53" w:rsidR="000D0629" w:rsidRPr="000D0629" w:rsidRDefault="000D0629" w:rsidP="000D0629">
      <w:pPr>
        <w:numPr>
          <w:ilvl w:val="0"/>
          <w:numId w:val="1"/>
        </w:numPr>
        <w:jc w:val="both"/>
      </w:pPr>
      <w:r w:rsidRPr="000D0629">
        <w:t xml:space="preserve">Establishing a dedicated international mechanism to monitor arms flows to Ukraine, </w:t>
      </w:r>
      <w:r w:rsidR="00824A08" w:rsidRPr="000D0629">
        <w:t>considering</w:t>
      </w:r>
      <w:r w:rsidRPr="000D0629">
        <w:t xml:space="preserve"> the volume of transferred arms and importance of tracking them to prevent diversion after the conflict ends.</w:t>
      </w:r>
    </w:p>
    <w:p w14:paraId="19DC47AA" w14:textId="77777777" w:rsidR="000D0629" w:rsidRPr="000D0629" w:rsidRDefault="000D0629" w:rsidP="000D0629">
      <w:pPr>
        <w:numPr>
          <w:ilvl w:val="0"/>
          <w:numId w:val="1"/>
        </w:numPr>
        <w:jc w:val="both"/>
      </w:pPr>
      <w:r w:rsidRPr="000D0629">
        <w:t>Calling on States Parties to provide accurate and transparent annual reports, including details about the nature of the transferred weapons and the end users, ensuring public access to this information.</w:t>
      </w:r>
    </w:p>
    <w:p w14:paraId="32B60978" w14:textId="77777777" w:rsidR="000D0629" w:rsidRPr="000D0629" w:rsidRDefault="000D0629" w:rsidP="000D0629">
      <w:pPr>
        <w:numPr>
          <w:ilvl w:val="0"/>
          <w:numId w:val="1"/>
        </w:numPr>
        <w:jc w:val="both"/>
      </w:pPr>
      <w:r w:rsidRPr="000D0629">
        <w:t>Encouraging states to publish non-classified summaries of their assessments regarding arms export risks, thereby enhancing levels of transparency and public accountability.</w:t>
      </w:r>
    </w:p>
    <w:p w14:paraId="0C9609BA" w14:textId="16CBBF6C" w:rsidR="000D0629" w:rsidRPr="000D0629" w:rsidRDefault="000D0629" w:rsidP="000D0629">
      <w:pPr>
        <w:numPr>
          <w:ilvl w:val="0"/>
          <w:numId w:val="1"/>
        </w:numPr>
        <w:jc w:val="both"/>
      </w:pPr>
      <w:r w:rsidRPr="000D0629">
        <w:t>Supporting technical and institutional capacity-building of member states, particularly in developing countries, to develop risk assessment mechanisms and improve the quality of reports submitted under the treaty.</w:t>
      </w:r>
    </w:p>
    <w:p w14:paraId="72FFE2D5" w14:textId="2C3FE31D" w:rsidR="000D0629" w:rsidRPr="000D0629" w:rsidRDefault="000D0629" w:rsidP="000D0629">
      <w:pPr>
        <w:jc w:val="both"/>
      </w:pPr>
      <w:r w:rsidRPr="000D0629">
        <w:t xml:space="preserve">Maat emphasizes that the collective commitment to enhancing transparency is the cornerstone for ensuring the effectiveness and real impact of </w:t>
      </w:r>
      <w:r w:rsidR="00824A08">
        <w:t>ATT</w:t>
      </w:r>
      <w:r w:rsidRPr="000D0629">
        <w:t>. These principles must be translated into concrete practices that protect lives and reduce violations of international law.</w:t>
      </w:r>
    </w:p>
    <w:p w14:paraId="07468FDF" w14:textId="77777777" w:rsidR="000D0629" w:rsidRDefault="000D0629" w:rsidP="000D0629">
      <w:pPr>
        <w:jc w:val="both"/>
      </w:pPr>
    </w:p>
    <w:sectPr w:rsidR="000D0629">
      <w:head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54ECB" w14:textId="77777777" w:rsidR="00352C55" w:rsidRDefault="00352C55" w:rsidP="00F9112C">
      <w:pPr>
        <w:spacing w:after="0" w:line="240" w:lineRule="auto"/>
      </w:pPr>
      <w:r>
        <w:separator/>
      </w:r>
    </w:p>
  </w:endnote>
  <w:endnote w:type="continuationSeparator" w:id="0">
    <w:p w14:paraId="6F7E980F" w14:textId="77777777" w:rsidR="00352C55" w:rsidRDefault="00352C55" w:rsidP="00F91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CF8D6" w14:textId="77777777" w:rsidR="00352C55" w:rsidRDefault="00352C55" w:rsidP="00F9112C">
      <w:pPr>
        <w:spacing w:after="0" w:line="240" w:lineRule="auto"/>
      </w:pPr>
      <w:r>
        <w:separator/>
      </w:r>
    </w:p>
  </w:footnote>
  <w:footnote w:type="continuationSeparator" w:id="0">
    <w:p w14:paraId="2AAA35C0" w14:textId="77777777" w:rsidR="00352C55" w:rsidRDefault="00352C55" w:rsidP="00F91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9422" w14:textId="0EDC16C5" w:rsidR="00F9112C" w:rsidRDefault="00F9112C">
    <w:pPr>
      <w:pStyle w:val="Header"/>
    </w:pPr>
    <w:r>
      <w:rPr>
        <w:noProof/>
      </w:rPr>
      <w:drawing>
        <wp:inline distT="0" distB="0" distL="0" distR="0" wp14:anchorId="2C624189" wp14:editId="5078E090">
          <wp:extent cx="1231265" cy="1071245"/>
          <wp:effectExtent l="0" t="0" r="0" b="0"/>
          <wp:docPr id="28" name="Picture 1" descr="maat pe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descr="maat peace"/>
                  <pic:cNvPicPr>
                    <a:picLocks noChangeAspect="1"/>
                  </pic:cNvPicPr>
                </pic:nvPicPr>
                <pic:blipFill>
                  <a:blip r:embed="rId1" cstate="print"/>
                  <a:srcRect/>
                  <a:stretch>
                    <a:fillRect/>
                  </a:stretch>
                </pic:blipFill>
                <pic:spPr bwMode="auto">
                  <a:xfrm>
                    <a:off x="0" y="0"/>
                    <a:ext cx="1231265" cy="107124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8232F"/>
    <w:multiLevelType w:val="multilevel"/>
    <w:tmpl w:val="EC529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6363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629"/>
    <w:rsid w:val="000D0629"/>
    <w:rsid w:val="00352C55"/>
    <w:rsid w:val="00457091"/>
    <w:rsid w:val="00824A08"/>
    <w:rsid w:val="00F37BC9"/>
    <w:rsid w:val="00F911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D9DD7"/>
  <w15:chartTrackingRefBased/>
  <w15:docId w15:val="{EA416C5E-1D53-41F2-A2E1-62FD23A12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06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06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06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06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06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06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06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06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06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6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06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06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06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06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06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06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06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0629"/>
    <w:rPr>
      <w:rFonts w:eastAsiaTheme="majorEastAsia" w:cstheme="majorBidi"/>
      <w:color w:val="272727" w:themeColor="text1" w:themeTint="D8"/>
    </w:rPr>
  </w:style>
  <w:style w:type="paragraph" w:styleId="Title">
    <w:name w:val="Title"/>
    <w:basedOn w:val="Normal"/>
    <w:next w:val="Normal"/>
    <w:link w:val="TitleChar"/>
    <w:uiPriority w:val="10"/>
    <w:qFormat/>
    <w:rsid w:val="000D06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06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06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06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0629"/>
    <w:pPr>
      <w:spacing w:before="160"/>
      <w:jc w:val="center"/>
    </w:pPr>
    <w:rPr>
      <w:i/>
      <w:iCs/>
      <w:color w:val="404040" w:themeColor="text1" w:themeTint="BF"/>
    </w:rPr>
  </w:style>
  <w:style w:type="character" w:customStyle="1" w:styleId="QuoteChar">
    <w:name w:val="Quote Char"/>
    <w:basedOn w:val="DefaultParagraphFont"/>
    <w:link w:val="Quote"/>
    <w:uiPriority w:val="29"/>
    <w:rsid w:val="000D0629"/>
    <w:rPr>
      <w:i/>
      <w:iCs/>
      <w:color w:val="404040" w:themeColor="text1" w:themeTint="BF"/>
    </w:rPr>
  </w:style>
  <w:style w:type="paragraph" w:styleId="ListParagraph">
    <w:name w:val="List Paragraph"/>
    <w:basedOn w:val="Normal"/>
    <w:uiPriority w:val="34"/>
    <w:qFormat/>
    <w:rsid w:val="000D0629"/>
    <w:pPr>
      <w:ind w:left="720"/>
      <w:contextualSpacing/>
    </w:pPr>
  </w:style>
  <w:style w:type="character" w:styleId="IntenseEmphasis">
    <w:name w:val="Intense Emphasis"/>
    <w:basedOn w:val="DefaultParagraphFont"/>
    <w:uiPriority w:val="21"/>
    <w:qFormat/>
    <w:rsid w:val="000D0629"/>
    <w:rPr>
      <w:i/>
      <w:iCs/>
      <w:color w:val="0F4761" w:themeColor="accent1" w:themeShade="BF"/>
    </w:rPr>
  </w:style>
  <w:style w:type="paragraph" w:styleId="IntenseQuote">
    <w:name w:val="Intense Quote"/>
    <w:basedOn w:val="Normal"/>
    <w:next w:val="Normal"/>
    <w:link w:val="IntenseQuoteChar"/>
    <w:uiPriority w:val="30"/>
    <w:qFormat/>
    <w:rsid w:val="000D06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0629"/>
    <w:rPr>
      <w:i/>
      <w:iCs/>
      <w:color w:val="0F4761" w:themeColor="accent1" w:themeShade="BF"/>
    </w:rPr>
  </w:style>
  <w:style w:type="character" w:styleId="IntenseReference">
    <w:name w:val="Intense Reference"/>
    <w:basedOn w:val="DefaultParagraphFont"/>
    <w:uiPriority w:val="32"/>
    <w:qFormat/>
    <w:rsid w:val="000D0629"/>
    <w:rPr>
      <w:b/>
      <w:bCs/>
      <w:smallCaps/>
      <w:color w:val="0F4761" w:themeColor="accent1" w:themeShade="BF"/>
      <w:spacing w:val="5"/>
    </w:rPr>
  </w:style>
  <w:style w:type="paragraph" w:styleId="Header">
    <w:name w:val="header"/>
    <w:basedOn w:val="Normal"/>
    <w:link w:val="HeaderChar"/>
    <w:uiPriority w:val="99"/>
    <w:unhideWhenUsed/>
    <w:rsid w:val="00F911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12C"/>
  </w:style>
  <w:style w:type="paragraph" w:styleId="Footer">
    <w:name w:val="footer"/>
    <w:basedOn w:val="Normal"/>
    <w:link w:val="FooterChar"/>
    <w:uiPriority w:val="99"/>
    <w:unhideWhenUsed/>
    <w:rsid w:val="00F911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457401">
      <w:bodyDiv w:val="1"/>
      <w:marLeft w:val="0"/>
      <w:marRight w:val="0"/>
      <w:marTop w:val="0"/>
      <w:marBottom w:val="0"/>
      <w:divBdr>
        <w:top w:val="none" w:sz="0" w:space="0" w:color="auto"/>
        <w:left w:val="none" w:sz="0" w:space="0" w:color="auto"/>
        <w:bottom w:val="none" w:sz="0" w:space="0" w:color="auto"/>
        <w:right w:val="none" w:sz="0" w:space="0" w:color="auto"/>
      </w:divBdr>
    </w:div>
    <w:div w:id="1013266017">
      <w:bodyDiv w:val="1"/>
      <w:marLeft w:val="0"/>
      <w:marRight w:val="0"/>
      <w:marTop w:val="0"/>
      <w:marBottom w:val="0"/>
      <w:divBdr>
        <w:top w:val="none" w:sz="0" w:space="0" w:color="auto"/>
        <w:left w:val="none" w:sz="0" w:space="0" w:color="auto"/>
        <w:bottom w:val="none" w:sz="0" w:space="0" w:color="auto"/>
        <w:right w:val="none" w:sz="0" w:space="0" w:color="auto"/>
      </w:divBdr>
    </w:div>
    <w:div w:id="1118791347">
      <w:bodyDiv w:val="1"/>
      <w:marLeft w:val="0"/>
      <w:marRight w:val="0"/>
      <w:marTop w:val="0"/>
      <w:marBottom w:val="0"/>
      <w:divBdr>
        <w:top w:val="none" w:sz="0" w:space="0" w:color="auto"/>
        <w:left w:val="none" w:sz="0" w:space="0" w:color="auto"/>
        <w:bottom w:val="none" w:sz="0" w:space="0" w:color="auto"/>
        <w:right w:val="none" w:sz="0" w:space="0" w:color="auto"/>
      </w:divBdr>
    </w:div>
    <w:div w:id="176773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524</Words>
  <Characters>3273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Manar Ibrahim</cp:lastModifiedBy>
  <cp:revision>1</cp:revision>
  <dcterms:created xsi:type="dcterms:W3CDTF">2025-05-15T15:02:00Z</dcterms:created>
  <dcterms:modified xsi:type="dcterms:W3CDTF">2025-05-15T15:06:00Z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ec926c93-bbfb-4dea-bafe-32b9d06c06a5</vt:lpwstr>
  </property>
</Properties>
</file>