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3449B" w14:textId="51160C9B" w:rsidR="003B4E8A" w:rsidRPr="00AD48B4" w:rsidRDefault="003B4E8A" w:rsidP="008B162B">
      <w:pPr>
        <w:bidi/>
        <w:jc w:val="center"/>
        <w:rPr>
          <w:rFonts w:eastAsia="Times New Roman" w:cstheme="minorHAnsi"/>
          <w:b/>
          <w:bCs/>
          <w:color w:val="00CC66"/>
          <w:sz w:val="28"/>
          <w:szCs w:val="28"/>
          <w:rtl/>
        </w:rPr>
      </w:pPr>
      <w:r w:rsidRPr="00AD48B4">
        <w:rPr>
          <w:rFonts w:eastAsia="Times New Roman" w:cstheme="minorHAnsi"/>
          <w:b/>
          <w:bCs/>
          <w:color w:val="00CC66"/>
          <w:sz w:val="28"/>
          <w:szCs w:val="28"/>
          <w:rtl/>
        </w:rPr>
        <w:t>المداخلة الخامسة الامتثال لمتطلبات الإبلاغ في معاهدة تجارة الأسلحة</w:t>
      </w:r>
      <w:r w:rsidR="00BD2152" w:rsidRPr="00AD48B4">
        <w:rPr>
          <w:rFonts w:eastAsia="Times New Roman" w:cstheme="minorHAnsi"/>
          <w:b/>
          <w:bCs/>
          <w:color w:val="00CC66"/>
          <w:sz w:val="28"/>
          <w:szCs w:val="28"/>
          <w:rtl/>
        </w:rPr>
        <w:t xml:space="preserve"> </w:t>
      </w:r>
      <w:r w:rsidR="00034A62" w:rsidRPr="00AD48B4">
        <w:rPr>
          <w:rFonts w:eastAsia="Times New Roman" w:cstheme="minorHAnsi"/>
          <w:b/>
          <w:bCs/>
          <w:color w:val="00CC66"/>
          <w:sz w:val="28"/>
          <w:szCs w:val="28"/>
          <w:rtl/>
        </w:rPr>
        <w:t xml:space="preserve">في القارة الأفريقية </w:t>
      </w:r>
    </w:p>
    <w:p w14:paraId="76D90235" w14:textId="7625A39D" w:rsidR="00C81F80" w:rsidRPr="00AD48B4" w:rsidRDefault="00C81F80" w:rsidP="00C81F80">
      <w:pPr>
        <w:bidi/>
        <w:rPr>
          <w:rFonts w:eastAsia="Times New Roman" w:cstheme="minorHAnsi"/>
          <w:b/>
          <w:bCs/>
          <w:color w:val="00CC66"/>
          <w:sz w:val="28"/>
          <w:szCs w:val="28"/>
          <w:rtl/>
        </w:rPr>
      </w:pPr>
      <w:r w:rsidRPr="00AD48B4">
        <w:rPr>
          <w:rFonts w:eastAsia="Times New Roman" w:cstheme="minorHAnsi"/>
          <w:b/>
          <w:bCs/>
          <w:color w:val="00CC66"/>
          <w:sz w:val="28"/>
          <w:szCs w:val="28"/>
          <w:rtl/>
        </w:rPr>
        <w:t xml:space="preserve">البند العام الشفافية وإعداد التقارير </w:t>
      </w:r>
    </w:p>
    <w:p w14:paraId="651FC744" w14:textId="7C3776E4" w:rsidR="00C81F80" w:rsidRPr="00AD48B4" w:rsidRDefault="00C81F80" w:rsidP="00C81F80">
      <w:pPr>
        <w:bidi/>
        <w:jc w:val="lowKashida"/>
        <w:rPr>
          <w:rFonts w:eastAsia="Times New Roman" w:cstheme="minorHAnsi"/>
          <w:b/>
          <w:bCs/>
          <w:sz w:val="28"/>
          <w:szCs w:val="28"/>
        </w:rPr>
      </w:pPr>
      <w:r w:rsidRPr="00AD48B4">
        <w:rPr>
          <w:rFonts w:eastAsia="Times New Roman" w:cstheme="minorHAnsi"/>
          <w:b/>
          <w:bCs/>
          <w:sz w:val="28"/>
          <w:szCs w:val="28"/>
          <w:rtl/>
        </w:rPr>
        <w:t>شكراً سيدي الرئيس،</w:t>
      </w:r>
    </w:p>
    <w:p w14:paraId="693F9B0E" w14:textId="4CB545F6" w:rsidR="00DA27FC" w:rsidRPr="00AD48B4" w:rsidRDefault="00DA27FC" w:rsidP="00DA27FC">
      <w:pPr>
        <w:bidi/>
        <w:jc w:val="lowKashida"/>
        <w:rPr>
          <w:rFonts w:eastAsia="Times New Roman" w:cstheme="minorHAnsi"/>
          <w:sz w:val="28"/>
          <w:szCs w:val="28"/>
          <w:rtl/>
        </w:rPr>
      </w:pPr>
      <w:r w:rsidRPr="00AD48B4">
        <w:rPr>
          <w:rFonts w:eastAsia="Times New Roman" w:cstheme="minorHAnsi"/>
          <w:sz w:val="28"/>
          <w:szCs w:val="28"/>
          <w:rtl/>
        </w:rPr>
        <w:t>يُعد الامتثال لمتطلبات الإبلاغ في </w:t>
      </w:r>
      <w:r w:rsidRPr="00AD48B4">
        <w:rPr>
          <w:rFonts w:eastAsia="Times New Roman" w:cstheme="minorHAnsi"/>
          <w:b/>
          <w:bCs/>
          <w:sz w:val="28"/>
          <w:szCs w:val="28"/>
          <w:rtl/>
        </w:rPr>
        <w:t>معاهدة تجارة الأسلحة</w:t>
      </w:r>
      <w:r w:rsidRPr="00AD48B4">
        <w:rPr>
          <w:rFonts w:eastAsia="Times New Roman" w:cstheme="minorHAnsi"/>
          <w:b/>
          <w:bCs/>
          <w:sz w:val="28"/>
          <w:szCs w:val="28"/>
        </w:rPr>
        <w:t xml:space="preserve"> (ATT)</w:t>
      </w:r>
      <w:r w:rsidRPr="00AD48B4">
        <w:rPr>
          <w:rFonts w:eastAsia="Times New Roman" w:cstheme="minorHAnsi"/>
          <w:sz w:val="28"/>
          <w:szCs w:val="28"/>
        </w:rPr>
        <w:t> </w:t>
      </w:r>
      <w:r w:rsidRPr="00AD48B4">
        <w:rPr>
          <w:rFonts w:eastAsia="Times New Roman" w:cstheme="minorHAnsi"/>
          <w:sz w:val="28"/>
          <w:szCs w:val="28"/>
          <w:rtl/>
        </w:rPr>
        <w:t xml:space="preserve">مؤشرًا على مدى التزام الدول الأطراف بتطبيق المعاهدة. ومع ذلك، فإن الامتثال لمتطلبات المعاهدة بتقديم تقرير أولي عن تطبيقها، وتقديم تقارير سنوية عن الصادرات والواردات من الأسلحة في تراجع مٌستمر، فبينما تلتزم بعض الدول بجميع المواعيد النهائية لتقديم التقارير، يظل العديد من الدول الأطراف غير ملتزمة بشكل ثابت، كذلك لم تٌقدم بعض الدول حتى الآن التقارير الأولية لأمانة المعاهدة، بالرغم من معانتها من انتشار تجارة الأسلحة غير المسئولية، ويؤدي ذلك إلي انخفاض مستويات الشفافية وزيارة عمليات نقل الأسلحة وتحويل وجهتها إلي الدول التي تعاني من انتشار النزاعات والصراعات المسلحة. </w:t>
      </w:r>
    </w:p>
    <w:p w14:paraId="687D87AE" w14:textId="67EB3004" w:rsidR="00BD2152" w:rsidRPr="00AD48B4" w:rsidRDefault="00DA27FC" w:rsidP="00BD2152">
      <w:pPr>
        <w:bidi/>
        <w:jc w:val="lowKashida"/>
        <w:rPr>
          <w:rFonts w:eastAsia="Times New Roman" w:cstheme="minorHAnsi"/>
          <w:sz w:val="28"/>
          <w:szCs w:val="28"/>
          <w:rtl/>
        </w:rPr>
      </w:pPr>
      <w:r w:rsidRPr="00AD48B4">
        <w:rPr>
          <w:rFonts w:eastAsia="Times New Roman" w:cstheme="minorHAnsi"/>
          <w:sz w:val="28"/>
          <w:szCs w:val="28"/>
          <w:rtl/>
        </w:rPr>
        <w:t xml:space="preserve">وينخفض معدل الامتثال </w:t>
      </w:r>
      <w:r w:rsidR="00002213" w:rsidRPr="00AD48B4">
        <w:rPr>
          <w:rFonts w:eastAsia="Times New Roman" w:cstheme="minorHAnsi"/>
          <w:sz w:val="28"/>
          <w:szCs w:val="28"/>
          <w:rtl/>
        </w:rPr>
        <w:t>في القارة الأفريقية</w:t>
      </w:r>
      <w:r w:rsidRPr="00AD48B4">
        <w:rPr>
          <w:rFonts w:eastAsia="Times New Roman" w:cstheme="minorHAnsi"/>
          <w:sz w:val="28"/>
          <w:szCs w:val="28"/>
          <w:rtl/>
        </w:rPr>
        <w:t xml:space="preserve"> بشكل ملحوظ بالرغم مما تعانيه القارة من انتشار للنزاعات المسلحة والحروب الأهلية التي تغذيها باستمرار عمليات نقل الأسلحة غير المسؤولة للجماعات الإرهابية والتيارات المسلحة والحكومات ذات السجل السيئ في مجال حقوق الإنسان، ف</w:t>
      </w:r>
      <w:r w:rsidR="00C81F80" w:rsidRPr="00AD48B4">
        <w:rPr>
          <w:rFonts w:eastAsia="Times New Roman" w:cstheme="minorHAnsi"/>
          <w:sz w:val="28"/>
          <w:szCs w:val="28"/>
          <w:rtl/>
        </w:rPr>
        <w:t xml:space="preserve">مع </w:t>
      </w:r>
      <w:r w:rsidR="00C81F80" w:rsidRPr="00AD48B4">
        <w:rPr>
          <w:rFonts w:eastAsia="Times New Roman" w:cstheme="minorHAnsi"/>
          <w:b/>
          <w:bCs/>
          <w:sz w:val="28"/>
          <w:szCs w:val="28"/>
          <w:rtl/>
        </w:rPr>
        <w:t>انضمام 31 دولة أفريقية للمعاهدة</w:t>
      </w:r>
      <w:r w:rsidR="00C81F80" w:rsidRPr="00AD48B4">
        <w:rPr>
          <w:rFonts w:eastAsia="Times New Roman" w:cstheme="minorHAnsi"/>
          <w:sz w:val="28"/>
          <w:szCs w:val="28"/>
          <w:rtl/>
        </w:rPr>
        <w:t xml:space="preserve"> </w:t>
      </w:r>
      <w:r w:rsidRPr="00AD48B4">
        <w:rPr>
          <w:rFonts w:eastAsia="Times New Roman" w:cstheme="minorHAnsi"/>
          <w:sz w:val="28"/>
          <w:szCs w:val="28"/>
          <w:rtl/>
        </w:rPr>
        <w:t xml:space="preserve">بينهم دول تعاني من نزاعات مثل نيجيريا وتشاد وجمهورية أفريقيا الوسطى إلا أن معدل الامتثال لتقديم التقارير ما زال منخفضاً. ففي عام 2024 </w:t>
      </w:r>
      <w:r w:rsidRPr="00AD48B4">
        <w:rPr>
          <w:rFonts w:eastAsia="Times New Roman" w:cstheme="minorHAnsi"/>
          <w:b/>
          <w:bCs/>
          <w:sz w:val="28"/>
          <w:szCs w:val="28"/>
          <w:rtl/>
        </w:rPr>
        <w:t>لم تقدّم 18 دولة أفريقية تقاريرها</w:t>
      </w:r>
      <w:r w:rsidR="00BD2152" w:rsidRPr="00AD48B4">
        <w:rPr>
          <w:rFonts w:eastAsia="Times New Roman" w:cstheme="minorHAnsi"/>
          <w:b/>
          <w:bCs/>
          <w:sz w:val="28"/>
          <w:szCs w:val="28"/>
          <w:rtl/>
        </w:rPr>
        <w:t xml:space="preserve"> </w:t>
      </w:r>
      <w:r w:rsidR="00C81F80" w:rsidRPr="00AD48B4">
        <w:rPr>
          <w:rFonts w:eastAsia="Times New Roman" w:cstheme="minorHAnsi"/>
          <w:b/>
          <w:bCs/>
          <w:sz w:val="28"/>
          <w:szCs w:val="28"/>
          <w:rtl/>
        </w:rPr>
        <w:t>بينما اختارت خمس دول أخرى حجبها عن الجمهور، ما جعل معدل الامتثال لا يتجاوز 26%، وهي نسبة متدنية للغاية في ظل الانتشار الواسع للأسلحة داخل القارة</w:t>
      </w:r>
      <w:r w:rsidR="00BD2152" w:rsidRPr="00AD48B4">
        <w:rPr>
          <w:rFonts w:eastAsia="Times New Roman" w:cstheme="minorHAnsi"/>
          <w:b/>
          <w:bCs/>
          <w:sz w:val="28"/>
          <w:szCs w:val="28"/>
          <w:rtl/>
        </w:rPr>
        <w:t xml:space="preserve">، كذلك لم تٌقدم </w:t>
      </w:r>
      <w:r w:rsidR="00BD2152" w:rsidRPr="00AD48B4">
        <w:rPr>
          <w:rFonts w:eastAsia="Times New Roman" w:cstheme="minorHAnsi"/>
          <w:b/>
          <w:bCs/>
          <w:sz w:val="28"/>
          <w:szCs w:val="28"/>
        </w:rPr>
        <w:t>12</w:t>
      </w:r>
      <w:r w:rsidR="00BD2152" w:rsidRPr="00AD48B4">
        <w:rPr>
          <w:rFonts w:eastAsia="Times New Roman" w:cstheme="minorHAnsi"/>
          <w:b/>
          <w:bCs/>
          <w:sz w:val="28"/>
          <w:szCs w:val="28"/>
          <w:rtl/>
        </w:rPr>
        <w:t xml:space="preserve"> دولة تقريرها الأولي إلى أمانة معاهدة تجارة الأسلحة.</w:t>
      </w:r>
      <w:r w:rsidR="00BD2152" w:rsidRPr="00AD48B4">
        <w:rPr>
          <w:rFonts w:eastAsia="Times New Roman" w:cstheme="minorHAnsi"/>
          <w:sz w:val="28"/>
          <w:szCs w:val="28"/>
          <w:rtl/>
        </w:rPr>
        <w:t xml:space="preserve"> </w:t>
      </w:r>
    </w:p>
    <w:p w14:paraId="3AD28326" w14:textId="6D163AE0" w:rsidR="00C81F80" w:rsidRPr="00AD48B4" w:rsidRDefault="00BD2152" w:rsidP="00AD48B4">
      <w:pPr>
        <w:bidi/>
        <w:jc w:val="lowKashida"/>
        <w:rPr>
          <w:rFonts w:eastAsia="Times New Roman" w:cstheme="minorHAnsi"/>
          <w:sz w:val="28"/>
          <w:szCs w:val="28"/>
        </w:rPr>
      </w:pPr>
      <w:r w:rsidRPr="00AD48B4">
        <w:rPr>
          <w:rFonts w:eastAsia="Times New Roman" w:cstheme="minorHAnsi"/>
          <w:sz w:val="28"/>
          <w:szCs w:val="28"/>
          <w:rtl/>
        </w:rPr>
        <w:t>و</w:t>
      </w:r>
      <w:r w:rsidR="00C81F80" w:rsidRPr="00AD48B4">
        <w:rPr>
          <w:rFonts w:eastAsia="Times New Roman" w:cstheme="minorHAnsi"/>
          <w:sz w:val="28"/>
          <w:szCs w:val="28"/>
          <w:rtl/>
        </w:rPr>
        <w:t>لتحسين هذا الواقع، نوصي بفتح حوار مباشر وبنّاء مع الدول الأفريقية الأطراف لفهم التحديات التي تحول دون تقديم التقارير، سواء كانت فنية أو إدارية أو متعلقة بنقص الموارد</w:t>
      </w:r>
      <w:r w:rsidR="00AD48B4">
        <w:rPr>
          <w:rFonts w:eastAsia="Times New Roman" w:cstheme="minorHAnsi" w:hint="cs"/>
          <w:sz w:val="28"/>
          <w:szCs w:val="28"/>
          <w:rtl/>
        </w:rPr>
        <w:t xml:space="preserve">، </w:t>
      </w:r>
      <w:r w:rsidR="00C81F80" w:rsidRPr="00AD48B4">
        <w:rPr>
          <w:rFonts w:eastAsia="Times New Roman" w:cstheme="minorHAnsi"/>
          <w:sz w:val="28"/>
          <w:szCs w:val="28"/>
          <w:rtl/>
        </w:rPr>
        <w:t>وتحديد نوعية المساعدة الفنية أو التدريب المطلوب لتعزيز قدرات هذه الدول على جمع البيانات وإعداد التقارير</w:t>
      </w:r>
      <w:r w:rsidR="00C81F80" w:rsidRPr="00AD48B4">
        <w:rPr>
          <w:rFonts w:eastAsia="Times New Roman" w:cstheme="minorHAnsi"/>
          <w:sz w:val="28"/>
          <w:szCs w:val="28"/>
        </w:rPr>
        <w:t>.</w:t>
      </w:r>
    </w:p>
    <w:p w14:paraId="76417E3C" w14:textId="21089296" w:rsidR="00B30FA8" w:rsidRPr="00AD48B4" w:rsidRDefault="00C81F80" w:rsidP="00B30FA8">
      <w:pPr>
        <w:bidi/>
        <w:jc w:val="lowKashida"/>
        <w:rPr>
          <w:rFonts w:eastAsia="Times New Roman" w:cstheme="minorHAnsi"/>
          <w:sz w:val="28"/>
          <w:szCs w:val="28"/>
          <w:rtl/>
        </w:rPr>
      </w:pPr>
      <w:r w:rsidRPr="00AD48B4">
        <w:rPr>
          <w:rFonts w:eastAsia="Times New Roman" w:cstheme="minorHAnsi"/>
          <w:sz w:val="28"/>
          <w:szCs w:val="28"/>
          <w:rtl/>
        </w:rPr>
        <w:t xml:space="preserve">إننا نؤمن بأن هذا الحوار سيساهم في بناء الثقة بين الدول الأطراف وأمانة المعاهدة، ويشجع على تبادل الخبرات بين الدول الأفريقية نفسها، ويساعد في رفع مستويات الشفافية والمساءلة، وهو ما نأمل أن يلقى </w:t>
      </w:r>
      <w:r w:rsidR="00B30FA8" w:rsidRPr="00AD48B4">
        <w:rPr>
          <w:rFonts w:eastAsia="Times New Roman" w:cstheme="minorHAnsi"/>
          <w:sz w:val="28"/>
          <w:szCs w:val="28"/>
          <w:rtl/>
        </w:rPr>
        <w:t xml:space="preserve">الاستجابة من الفريق العامل. </w:t>
      </w:r>
    </w:p>
    <w:p w14:paraId="4CAA7041" w14:textId="0948BEC2" w:rsidR="00B30FA8" w:rsidRPr="00AD48B4" w:rsidRDefault="00B30FA8" w:rsidP="00B30FA8">
      <w:pPr>
        <w:bidi/>
        <w:jc w:val="lowKashida"/>
        <w:rPr>
          <w:rFonts w:eastAsia="Times New Roman" w:cstheme="minorHAnsi"/>
          <w:sz w:val="28"/>
          <w:szCs w:val="28"/>
          <w:rtl/>
        </w:rPr>
      </w:pPr>
      <w:r w:rsidRPr="00AD48B4">
        <w:rPr>
          <w:rFonts w:eastAsia="Times New Roman" w:cstheme="minorHAnsi"/>
          <w:sz w:val="28"/>
          <w:szCs w:val="28"/>
          <w:rtl/>
        </w:rPr>
        <w:t xml:space="preserve">على الجانب الأخر، لدى مؤسسة ماعت العديد من المخاوف المتعلقة بإمكانية تحويل مسار الأسلحة من أوكرانيا إلي الدول التي تعاني من الصراعات في القارة الأفريقية وذلك في ظل نقص المعلومات المتعلقة بتقديم الدعم العسكري إلي الحكومة الأوكرانية، يسمح ذلك بانخفاض الشفافية وإمكانية وقوع الأسلحة في أيادي جهات غير رسمية وغير مسؤولة، مثل المجموعات المسلحة أو الأطراف المتحاربة في مناطق </w:t>
      </w:r>
      <w:r w:rsidRPr="00AD48B4">
        <w:rPr>
          <w:rFonts w:eastAsia="Times New Roman" w:cstheme="minorHAnsi"/>
          <w:sz w:val="28"/>
          <w:szCs w:val="28"/>
          <w:rtl/>
        </w:rPr>
        <w:lastRenderedPageBreak/>
        <w:t xml:space="preserve">النزاع لاسيما مع عدم وجود آليات مراقبة مٌحددة لمراقبة تدفق الأسلحة المٌقدمة من الحكومات إلي أوكرانيا وغياب بعض المعلومات الأساسية </w:t>
      </w:r>
      <w:r w:rsidR="00841493" w:rsidRPr="00AD48B4">
        <w:rPr>
          <w:rFonts w:eastAsia="Times New Roman" w:cstheme="minorHAnsi"/>
          <w:sz w:val="28"/>
          <w:szCs w:val="28"/>
          <w:rtl/>
        </w:rPr>
        <w:t xml:space="preserve">عنها. </w:t>
      </w:r>
    </w:p>
    <w:p w14:paraId="16A8FC1A" w14:textId="0558341B" w:rsidR="00B30FA8" w:rsidRPr="00AD48B4" w:rsidRDefault="00841493" w:rsidP="00B30FA8">
      <w:pPr>
        <w:bidi/>
        <w:jc w:val="lowKashida"/>
        <w:rPr>
          <w:rFonts w:eastAsia="Times New Roman" w:cstheme="minorHAnsi"/>
          <w:b/>
          <w:bCs/>
          <w:sz w:val="28"/>
          <w:szCs w:val="28"/>
          <w:rtl/>
        </w:rPr>
      </w:pPr>
      <w:r w:rsidRPr="00AD48B4">
        <w:rPr>
          <w:rFonts w:eastAsia="Times New Roman" w:cstheme="minorHAnsi"/>
          <w:sz w:val="28"/>
          <w:szCs w:val="28"/>
          <w:rtl/>
        </w:rPr>
        <w:t xml:space="preserve">ولهذه المخاوف المشروعة فأننا نطالب الدول الأطراف بضرورة تقديم كافة المعلومات المتعلقة بتقديمها الدعم العسكري للحكومة الأوكرانية على أن تظهر تلك المعلومات في تقارير الدول بشكل ملحوظ، وذلك لتعزيز </w:t>
      </w:r>
      <w:r w:rsidRPr="00AD48B4">
        <w:rPr>
          <w:rFonts w:eastAsia="Times New Roman" w:cstheme="minorHAnsi"/>
          <w:b/>
          <w:bCs/>
          <w:sz w:val="28"/>
          <w:szCs w:val="28"/>
          <w:rtl/>
        </w:rPr>
        <w:t xml:space="preserve">الشفافية والرقابة الدولية ولمنع وصول تلك الأسلحة إلي الأيادي الخاطئة. </w:t>
      </w:r>
    </w:p>
    <w:p w14:paraId="6D4F9DB0" w14:textId="47AAAD29" w:rsidR="00841493" w:rsidRPr="00AD48B4" w:rsidRDefault="00841493" w:rsidP="00841493">
      <w:pPr>
        <w:bidi/>
        <w:jc w:val="lowKashida"/>
        <w:rPr>
          <w:rFonts w:eastAsia="Times New Roman" w:cstheme="minorHAnsi"/>
          <w:sz w:val="28"/>
          <w:szCs w:val="28"/>
        </w:rPr>
      </w:pPr>
    </w:p>
    <w:sectPr w:rsidR="00841493" w:rsidRPr="00AD48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C6EF" w14:textId="77777777" w:rsidR="006818A0" w:rsidRDefault="006818A0" w:rsidP="00DF2277">
      <w:pPr>
        <w:spacing w:before="0" w:after="0"/>
      </w:pPr>
      <w:r>
        <w:separator/>
      </w:r>
    </w:p>
  </w:endnote>
  <w:endnote w:type="continuationSeparator" w:id="0">
    <w:p w14:paraId="5259A16F" w14:textId="77777777" w:rsidR="006818A0" w:rsidRDefault="006818A0"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B322" w14:textId="77777777" w:rsidR="006818A0" w:rsidRDefault="006818A0" w:rsidP="00DF2277">
      <w:pPr>
        <w:spacing w:before="0" w:after="0"/>
      </w:pPr>
      <w:r>
        <w:separator/>
      </w:r>
    </w:p>
  </w:footnote>
  <w:footnote w:type="continuationSeparator" w:id="0">
    <w:p w14:paraId="602CB886" w14:textId="77777777" w:rsidR="006818A0" w:rsidRDefault="006818A0"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5435AD58" w:rsidR="00DF2277" w:rsidRPr="00DF2277" w:rsidRDefault="00DF2277" w:rsidP="00DF2277">
    <w:pPr>
      <w:pStyle w:val="a3"/>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27D75"/>
    <w:multiLevelType w:val="hybridMultilevel"/>
    <w:tmpl w:val="B05E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95E31"/>
    <w:multiLevelType w:val="multilevel"/>
    <w:tmpl w:val="77B2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8"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104408">
    <w:abstractNumId w:val="1"/>
  </w:num>
  <w:num w:numId="2" w16cid:durableId="1537154620">
    <w:abstractNumId w:val="8"/>
  </w:num>
  <w:num w:numId="3" w16cid:durableId="45223291">
    <w:abstractNumId w:val="7"/>
  </w:num>
  <w:num w:numId="4" w16cid:durableId="1880390104">
    <w:abstractNumId w:val="0"/>
  </w:num>
  <w:num w:numId="5" w16cid:durableId="1271234196">
    <w:abstractNumId w:val="5"/>
  </w:num>
  <w:num w:numId="6" w16cid:durableId="1706563993">
    <w:abstractNumId w:val="6"/>
  </w:num>
  <w:num w:numId="7" w16cid:durableId="895773974">
    <w:abstractNumId w:val="2"/>
  </w:num>
  <w:num w:numId="8" w16cid:durableId="98112346">
    <w:abstractNumId w:val="9"/>
  </w:num>
  <w:num w:numId="9" w16cid:durableId="2119790630">
    <w:abstractNumId w:val="3"/>
  </w:num>
  <w:num w:numId="10" w16cid:durableId="677384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02213"/>
    <w:rsid w:val="0002260A"/>
    <w:rsid w:val="00034A62"/>
    <w:rsid w:val="000358C2"/>
    <w:rsid w:val="00071EBC"/>
    <w:rsid w:val="000B0BDF"/>
    <w:rsid w:val="000E02F9"/>
    <w:rsid w:val="000F789A"/>
    <w:rsid w:val="00100326"/>
    <w:rsid w:val="00103273"/>
    <w:rsid w:val="00121569"/>
    <w:rsid w:val="0016713B"/>
    <w:rsid w:val="00185812"/>
    <w:rsid w:val="001A1D19"/>
    <w:rsid w:val="001A5612"/>
    <w:rsid w:val="001B6008"/>
    <w:rsid w:val="001F0BE9"/>
    <w:rsid w:val="00214B98"/>
    <w:rsid w:val="002411D5"/>
    <w:rsid w:val="002569EC"/>
    <w:rsid w:val="00276D48"/>
    <w:rsid w:val="00283AE2"/>
    <w:rsid w:val="00296D81"/>
    <w:rsid w:val="002B100F"/>
    <w:rsid w:val="002B543B"/>
    <w:rsid w:val="002D3546"/>
    <w:rsid w:val="002D56BE"/>
    <w:rsid w:val="002F18ED"/>
    <w:rsid w:val="002F5C27"/>
    <w:rsid w:val="00316EF5"/>
    <w:rsid w:val="00325857"/>
    <w:rsid w:val="00344CF2"/>
    <w:rsid w:val="00346816"/>
    <w:rsid w:val="00361FA9"/>
    <w:rsid w:val="00385445"/>
    <w:rsid w:val="0038764B"/>
    <w:rsid w:val="0039528E"/>
    <w:rsid w:val="003A3AFD"/>
    <w:rsid w:val="003B4E8A"/>
    <w:rsid w:val="003D3077"/>
    <w:rsid w:val="00430EBC"/>
    <w:rsid w:val="004312FA"/>
    <w:rsid w:val="00452C06"/>
    <w:rsid w:val="004667C0"/>
    <w:rsid w:val="004B4006"/>
    <w:rsid w:val="004F5686"/>
    <w:rsid w:val="00544C20"/>
    <w:rsid w:val="00592658"/>
    <w:rsid w:val="005C568E"/>
    <w:rsid w:val="005D53C4"/>
    <w:rsid w:val="005E479C"/>
    <w:rsid w:val="005E7B8B"/>
    <w:rsid w:val="005F281C"/>
    <w:rsid w:val="0061467F"/>
    <w:rsid w:val="00615403"/>
    <w:rsid w:val="00617738"/>
    <w:rsid w:val="006412DE"/>
    <w:rsid w:val="006818A0"/>
    <w:rsid w:val="006F2664"/>
    <w:rsid w:val="007469BF"/>
    <w:rsid w:val="00755A7D"/>
    <w:rsid w:val="00785295"/>
    <w:rsid w:val="007921AC"/>
    <w:rsid w:val="007979F5"/>
    <w:rsid w:val="007C1DE3"/>
    <w:rsid w:val="007E243E"/>
    <w:rsid w:val="00801EFE"/>
    <w:rsid w:val="0081346D"/>
    <w:rsid w:val="00817544"/>
    <w:rsid w:val="00841493"/>
    <w:rsid w:val="00841DC6"/>
    <w:rsid w:val="00856028"/>
    <w:rsid w:val="00861CED"/>
    <w:rsid w:val="00871130"/>
    <w:rsid w:val="0087245A"/>
    <w:rsid w:val="008957E1"/>
    <w:rsid w:val="008A3FA7"/>
    <w:rsid w:val="008B162B"/>
    <w:rsid w:val="008C4998"/>
    <w:rsid w:val="008E175D"/>
    <w:rsid w:val="008E3F0F"/>
    <w:rsid w:val="00900E2D"/>
    <w:rsid w:val="009064D8"/>
    <w:rsid w:val="009152BE"/>
    <w:rsid w:val="00931AFD"/>
    <w:rsid w:val="00934F75"/>
    <w:rsid w:val="0094308D"/>
    <w:rsid w:val="009653BC"/>
    <w:rsid w:val="00973247"/>
    <w:rsid w:val="009911E7"/>
    <w:rsid w:val="00A0701F"/>
    <w:rsid w:val="00A12B74"/>
    <w:rsid w:val="00A53993"/>
    <w:rsid w:val="00A55994"/>
    <w:rsid w:val="00A86D57"/>
    <w:rsid w:val="00A91728"/>
    <w:rsid w:val="00AA7623"/>
    <w:rsid w:val="00AB4536"/>
    <w:rsid w:val="00AD19C8"/>
    <w:rsid w:val="00AD48B4"/>
    <w:rsid w:val="00AF32B2"/>
    <w:rsid w:val="00B07C50"/>
    <w:rsid w:val="00B21E4B"/>
    <w:rsid w:val="00B3086D"/>
    <w:rsid w:val="00B30FA8"/>
    <w:rsid w:val="00B52855"/>
    <w:rsid w:val="00B57B22"/>
    <w:rsid w:val="00B94F32"/>
    <w:rsid w:val="00BB0897"/>
    <w:rsid w:val="00BD2152"/>
    <w:rsid w:val="00BF71B3"/>
    <w:rsid w:val="00C37136"/>
    <w:rsid w:val="00C37AA8"/>
    <w:rsid w:val="00C81F80"/>
    <w:rsid w:val="00D01A3D"/>
    <w:rsid w:val="00D055E6"/>
    <w:rsid w:val="00D26CD8"/>
    <w:rsid w:val="00D63F09"/>
    <w:rsid w:val="00D673C1"/>
    <w:rsid w:val="00D731F5"/>
    <w:rsid w:val="00D8029C"/>
    <w:rsid w:val="00D827A1"/>
    <w:rsid w:val="00DA27FC"/>
    <w:rsid w:val="00DC03BE"/>
    <w:rsid w:val="00DC4FBD"/>
    <w:rsid w:val="00DD6346"/>
    <w:rsid w:val="00DE137A"/>
    <w:rsid w:val="00DE4C50"/>
    <w:rsid w:val="00DF2277"/>
    <w:rsid w:val="00DF6750"/>
    <w:rsid w:val="00E00AC9"/>
    <w:rsid w:val="00E05DE5"/>
    <w:rsid w:val="00E3332F"/>
    <w:rsid w:val="00E452CB"/>
    <w:rsid w:val="00E61EA7"/>
    <w:rsid w:val="00EA1B8C"/>
    <w:rsid w:val="00ED5F2D"/>
    <w:rsid w:val="00EE1B78"/>
    <w:rsid w:val="00EE62DD"/>
    <w:rsid w:val="00F05A63"/>
    <w:rsid w:val="00F0713A"/>
    <w:rsid w:val="00F2384C"/>
    <w:rsid w:val="00F27508"/>
    <w:rsid w:val="00F3308F"/>
    <w:rsid w:val="00F56F47"/>
    <w:rsid w:val="00F83FFD"/>
    <w:rsid w:val="00FA37D6"/>
    <w:rsid w:val="00FA46EE"/>
    <w:rsid w:val="00FB36BF"/>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277"/>
    <w:pPr>
      <w:tabs>
        <w:tab w:val="center" w:pos="4680"/>
        <w:tab w:val="right" w:pos="9360"/>
      </w:tabs>
      <w:spacing w:before="0" w:after="0"/>
    </w:pPr>
  </w:style>
  <w:style w:type="character" w:customStyle="1" w:styleId="Char">
    <w:name w:val="رأس الصفحة Char"/>
    <w:basedOn w:val="a0"/>
    <w:link w:val="a3"/>
    <w:uiPriority w:val="99"/>
    <w:rsid w:val="00DF2277"/>
  </w:style>
  <w:style w:type="paragraph" w:styleId="a4">
    <w:name w:val="footer"/>
    <w:basedOn w:val="a"/>
    <w:link w:val="Char0"/>
    <w:uiPriority w:val="99"/>
    <w:unhideWhenUsed/>
    <w:rsid w:val="00DF2277"/>
    <w:pPr>
      <w:tabs>
        <w:tab w:val="center" w:pos="4680"/>
        <w:tab w:val="right" w:pos="9360"/>
      </w:tabs>
      <w:spacing w:before="0" w:after="0"/>
    </w:pPr>
  </w:style>
  <w:style w:type="character" w:customStyle="1" w:styleId="Char0">
    <w:name w:val="تذييل الصفحة Char"/>
    <w:basedOn w:val="a0"/>
    <w:link w:val="a4"/>
    <w:uiPriority w:val="99"/>
    <w:rsid w:val="00DF2277"/>
  </w:style>
  <w:style w:type="table" w:styleId="a5">
    <w:name w:val="Table Grid"/>
    <w:basedOn w:val="a1"/>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D8029C"/>
    <w:rPr>
      <w:color w:val="0563C1" w:themeColor="hyperlink"/>
      <w:u w:val="single"/>
    </w:rPr>
  </w:style>
  <w:style w:type="paragraph" w:styleId="a6">
    <w:name w:val="List Paragraph"/>
    <w:basedOn w:val="a"/>
    <w:uiPriority w:val="34"/>
    <w:qFormat/>
    <w:rsid w:val="00E00AC9"/>
    <w:pPr>
      <w:ind w:left="720"/>
      <w:contextualSpacing/>
    </w:pPr>
  </w:style>
  <w:style w:type="character" w:customStyle="1" w:styleId="1">
    <w:name w:val="إشارة لم يتم حلها1"/>
    <w:basedOn w:val="a0"/>
    <w:uiPriority w:val="99"/>
    <w:semiHidden/>
    <w:unhideWhenUsed/>
    <w:rsid w:val="00C37AA8"/>
    <w:rPr>
      <w:color w:val="605E5C"/>
      <w:shd w:val="clear" w:color="auto" w:fill="E1DFDD"/>
    </w:rPr>
  </w:style>
  <w:style w:type="paragraph" w:styleId="a7">
    <w:name w:val="Normal (Web)"/>
    <w:basedOn w:val="a"/>
    <w:uiPriority w:val="99"/>
    <w:semiHidden/>
    <w:unhideWhenUsed/>
    <w:rsid w:val="00F56F47"/>
    <w:rPr>
      <w:rFonts w:ascii="Times New Roman" w:eastAsia="Times New Roman" w:hAnsi="Times New Roman" w:cs="Times New Roman"/>
      <w:sz w:val="24"/>
      <w:szCs w:val="24"/>
    </w:rPr>
  </w:style>
  <w:style w:type="character" w:styleId="a8">
    <w:name w:val="footnote reference"/>
    <w:aliases w:val="4_G,4_GA"/>
    <w:basedOn w:val="a0"/>
    <w:uiPriority w:val="99"/>
    <w:unhideWhenUsed/>
    <w:qFormat/>
    <w:rsid w:val="00B21E4B"/>
    <w:rPr>
      <w:vertAlign w:val="superscript"/>
    </w:rPr>
  </w:style>
  <w:style w:type="paragraph" w:styleId="a9">
    <w:name w:val="footnote text"/>
    <w:aliases w:val="5_G"/>
    <w:basedOn w:val="a"/>
    <w:link w:val="Char1"/>
    <w:uiPriority w:val="99"/>
    <w:unhideWhenUsed/>
    <w:qFormat/>
    <w:rsid w:val="00B21E4B"/>
    <w:pPr>
      <w:spacing w:before="0" w:beforeAutospacing="0" w:after="0" w:afterAutospacing="0"/>
    </w:pPr>
    <w:rPr>
      <w:sz w:val="20"/>
      <w:szCs w:val="20"/>
    </w:rPr>
  </w:style>
  <w:style w:type="character" w:customStyle="1" w:styleId="Char1">
    <w:name w:val="نص حاشية سفلية Char"/>
    <w:aliases w:val="5_G Char"/>
    <w:basedOn w:val="a0"/>
    <w:link w:val="a9"/>
    <w:uiPriority w:val="99"/>
    <w:rsid w:val="00B21E4B"/>
    <w:rPr>
      <w:sz w:val="20"/>
      <w:szCs w:val="20"/>
    </w:rPr>
  </w:style>
  <w:style w:type="character" w:styleId="aa">
    <w:name w:val="FollowedHyperlink"/>
    <w:basedOn w:val="a0"/>
    <w:uiPriority w:val="99"/>
    <w:semiHidden/>
    <w:unhideWhenUsed/>
    <w:rsid w:val="000E02F9"/>
    <w:rPr>
      <w:color w:val="954F72" w:themeColor="followedHyperlink"/>
      <w:u w:val="single"/>
    </w:rPr>
  </w:style>
  <w:style w:type="character" w:styleId="ab">
    <w:name w:val="Strong"/>
    <w:basedOn w:val="a0"/>
    <w:uiPriority w:val="22"/>
    <w:qFormat/>
    <w:rsid w:val="007E243E"/>
    <w:rPr>
      <w:b/>
      <w:bCs/>
    </w:rPr>
  </w:style>
  <w:style w:type="character" w:styleId="ac">
    <w:name w:val="Emphasis"/>
    <w:basedOn w:val="a0"/>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1687292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31532186">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21998041">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88127841">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8327">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20048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Ahmed Elsanhoty</cp:lastModifiedBy>
  <cp:revision>82</cp:revision>
  <dcterms:created xsi:type="dcterms:W3CDTF">2024-01-31T22:23:00Z</dcterms:created>
  <dcterms:modified xsi:type="dcterms:W3CDTF">2025-08-27T08:07:00Z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