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71EBA" w14:textId="785C4081" w:rsidR="00E35CC6" w:rsidRPr="002A4589" w:rsidRDefault="00B3222D" w:rsidP="00F73B23">
      <w:pPr>
        <w:spacing w:line="276" w:lineRule="auto"/>
        <w:ind w:left="-426" w:right="-138"/>
        <w:rPr>
          <w:rFonts w:ascii="Palatino Linotype" w:hAnsi="Palatino Linotype"/>
          <w:b/>
          <w:bCs/>
          <w:lang w:val="en-US"/>
        </w:rPr>
      </w:pPr>
      <w:r w:rsidRPr="002A4589">
        <w:rPr>
          <w:rFonts w:ascii="Palatino Linotype" w:hAnsi="Palatino Linotype"/>
          <w:b/>
          <w:bCs/>
          <w:lang w:val="en-US"/>
        </w:rPr>
        <w:t>State of Palestine – Statement on Effective Treaty Implementation</w:t>
      </w:r>
      <w:r w:rsidR="00FD1AEE">
        <w:rPr>
          <w:rFonts w:ascii="Palatino Linotype" w:hAnsi="Palatino Linotype"/>
          <w:b/>
          <w:bCs/>
          <w:lang w:val="en-US"/>
        </w:rPr>
        <w:t xml:space="preserve"> – </w:t>
      </w:r>
      <w:proofErr w:type="spellStart"/>
      <w:r w:rsidR="00FD1AEE">
        <w:rPr>
          <w:rFonts w:ascii="Palatino Linotype" w:hAnsi="Palatino Linotype"/>
          <w:b/>
          <w:bCs/>
          <w:lang w:val="en-US"/>
        </w:rPr>
        <w:t>ATT</w:t>
      </w:r>
      <w:proofErr w:type="spellEnd"/>
      <w:r w:rsidR="00FD1AEE">
        <w:rPr>
          <w:rFonts w:ascii="Palatino Linotype" w:hAnsi="Palatino Linotype"/>
          <w:b/>
          <w:bCs/>
          <w:lang w:val="en-US"/>
        </w:rPr>
        <w:t xml:space="preserve"> CSP12</w:t>
      </w:r>
    </w:p>
    <w:p w14:paraId="1A3ADBF7" w14:textId="54503141" w:rsidR="00E35CC6" w:rsidRPr="002A4589" w:rsidRDefault="00B3222D" w:rsidP="00F73B23">
      <w:pPr>
        <w:spacing w:line="276" w:lineRule="auto"/>
        <w:ind w:left="-426" w:right="-138"/>
        <w:jc w:val="both"/>
        <w:rPr>
          <w:rFonts w:ascii="Palatino Linotype" w:hAnsi="Palatino Linotype"/>
        </w:rPr>
      </w:pPr>
      <w:r w:rsidRPr="002A4589">
        <w:rPr>
          <w:rFonts w:ascii="Palatino Linotype" w:hAnsi="Palatino Linotype"/>
        </w:rPr>
        <w:t>Thank you, Chair,</w:t>
      </w:r>
      <w:r w:rsidR="00A63762" w:rsidRPr="002A4589">
        <w:rPr>
          <w:rFonts w:ascii="Palatino Linotype" w:hAnsi="Palatino Linotype"/>
        </w:rPr>
        <w:t xml:space="preserve"> </w:t>
      </w:r>
    </w:p>
    <w:p w14:paraId="20FACF4C" w14:textId="727803D3" w:rsidR="002A4589" w:rsidRDefault="003E16F5" w:rsidP="00F73B23">
      <w:pPr>
        <w:spacing w:line="276" w:lineRule="auto"/>
        <w:ind w:left="-426" w:right="-138"/>
        <w:jc w:val="both"/>
        <w:rPr>
          <w:rFonts w:ascii="Palatino Linotype" w:hAnsi="Palatino Linotype"/>
        </w:rPr>
      </w:pPr>
      <w:r w:rsidRPr="002A4589">
        <w:rPr>
          <w:rFonts w:ascii="Palatino Linotype" w:hAnsi="Palatino Linotype"/>
        </w:rPr>
        <w:t xml:space="preserve">The State of Palestine stresses the urgent need for the effective implementation of the </w:t>
      </w:r>
      <w:r w:rsidR="00E361DB">
        <w:rPr>
          <w:rFonts w:ascii="Palatino Linotype" w:hAnsi="Palatino Linotype"/>
        </w:rPr>
        <w:t>treaty</w:t>
      </w:r>
      <w:r w:rsidRPr="002A4589">
        <w:rPr>
          <w:rFonts w:ascii="Palatino Linotype" w:hAnsi="Palatino Linotype"/>
        </w:rPr>
        <w:t xml:space="preserve">. While </w:t>
      </w:r>
      <w:r w:rsidR="00FD0829" w:rsidRPr="002A4589">
        <w:rPr>
          <w:rFonts w:ascii="Palatino Linotype" w:hAnsi="Palatino Linotype"/>
        </w:rPr>
        <w:t>the</w:t>
      </w:r>
      <w:r w:rsidRPr="002A4589">
        <w:rPr>
          <w:rFonts w:ascii="Palatino Linotype" w:hAnsi="Palatino Linotype"/>
        </w:rPr>
        <w:t xml:space="preserve"> legal obligations </w:t>
      </w:r>
      <w:r w:rsidR="00FD0829" w:rsidRPr="002A4589">
        <w:rPr>
          <w:rFonts w:ascii="Palatino Linotype" w:hAnsi="Palatino Linotype"/>
        </w:rPr>
        <w:t xml:space="preserve">of the treaty </w:t>
      </w:r>
      <w:r w:rsidRPr="002A4589">
        <w:rPr>
          <w:rFonts w:ascii="Palatino Linotype" w:hAnsi="Palatino Linotype"/>
        </w:rPr>
        <w:t>are clear, compliance remains gravely deficient as arms transfers</w:t>
      </w:r>
      <w:r w:rsidR="00F23011" w:rsidRPr="002A4589">
        <w:rPr>
          <w:rFonts w:ascii="Palatino Linotype" w:hAnsi="Palatino Linotype"/>
        </w:rPr>
        <w:t xml:space="preserve"> to Israel, the occupying power,</w:t>
      </w:r>
      <w:r w:rsidRPr="002A4589">
        <w:rPr>
          <w:rFonts w:ascii="Palatino Linotype" w:hAnsi="Palatino Linotype"/>
        </w:rPr>
        <w:t xml:space="preserve"> continue</w:t>
      </w:r>
      <w:r w:rsidR="00E623E5" w:rsidRPr="002A4589">
        <w:rPr>
          <w:rFonts w:ascii="Palatino Linotype" w:hAnsi="Palatino Linotype"/>
        </w:rPr>
        <w:t xml:space="preserve">, </w:t>
      </w:r>
      <w:r w:rsidRPr="002A4589">
        <w:rPr>
          <w:rFonts w:ascii="Palatino Linotype" w:hAnsi="Palatino Linotype"/>
        </w:rPr>
        <w:t>despite mounting evidence of the gravest international crimes in the occupied Palestinian territory</w:t>
      </w:r>
      <w:r w:rsidR="00336287" w:rsidRPr="002A4589">
        <w:rPr>
          <w:rFonts w:ascii="Palatino Linotype" w:hAnsi="Palatino Linotype"/>
        </w:rPr>
        <w:t>.</w:t>
      </w:r>
    </w:p>
    <w:p w14:paraId="6DB0FA94" w14:textId="0623955F" w:rsidR="002A4589" w:rsidRDefault="00A76829" w:rsidP="00F73B23">
      <w:pPr>
        <w:spacing w:line="276" w:lineRule="auto"/>
        <w:ind w:left="-426" w:right="-138"/>
        <w:jc w:val="both"/>
        <w:rPr>
          <w:rFonts w:ascii="Palatino Linotype" w:hAnsi="Palatino Linotype"/>
        </w:rPr>
      </w:pPr>
      <w:r w:rsidRPr="002A4589">
        <w:rPr>
          <w:rFonts w:ascii="Palatino Linotype" w:hAnsi="Palatino Linotype"/>
        </w:rPr>
        <w:t xml:space="preserve">Articles 6 and 7 of the Treaty require States to refuse arms transfers where they know, or face an overriding risk, that weapons will facilitate genocide, war crimes, </w:t>
      </w:r>
      <w:r w:rsidR="000C1F7E">
        <w:rPr>
          <w:rFonts w:ascii="Palatino Linotype" w:hAnsi="Palatino Linotype"/>
        </w:rPr>
        <w:t>or crim</w:t>
      </w:r>
      <w:r w:rsidR="005B2139">
        <w:rPr>
          <w:rFonts w:ascii="Palatino Linotype" w:hAnsi="Palatino Linotype"/>
        </w:rPr>
        <w:t>es against humanity.</w:t>
      </w:r>
    </w:p>
    <w:p w14:paraId="50B029F7" w14:textId="55001181" w:rsidR="002A4589" w:rsidRDefault="00A76829" w:rsidP="00F73B23">
      <w:pPr>
        <w:spacing w:line="276" w:lineRule="auto"/>
        <w:ind w:left="-426" w:right="-138"/>
        <w:jc w:val="both"/>
        <w:rPr>
          <w:rFonts w:ascii="Palatino Linotype" w:hAnsi="Palatino Linotype"/>
        </w:rPr>
      </w:pPr>
      <w:r w:rsidRPr="002A4589">
        <w:rPr>
          <w:rFonts w:ascii="Palatino Linotype" w:hAnsi="Palatino Linotype"/>
        </w:rPr>
        <w:t xml:space="preserve">Transfers of aircraft, artillery, ammunition, missiles, firearms, and other military equipment to the occupying Power have enabled mass civilian casualties, </w:t>
      </w:r>
      <w:r w:rsidR="007D3F72">
        <w:rPr>
          <w:rFonts w:ascii="Palatino Linotype" w:hAnsi="Palatino Linotype"/>
        </w:rPr>
        <w:t>systematic destruction</w:t>
      </w:r>
      <w:r w:rsidRPr="002A4589">
        <w:rPr>
          <w:rFonts w:ascii="Palatino Linotype" w:hAnsi="Palatino Linotype"/>
        </w:rPr>
        <w:t xml:space="preserve">, forcible transfer, gender-based violence, and other grave violations. </w:t>
      </w:r>
      <w:r w:rsidR="007B39B1" w:rsidRPr="002A4589">
        <w:rPr>
          <w:rFonts w:ascii="Palatino Linotype" w:hAnsi="Palatino Linotype"/>
        </w:rPr>
        <w:t xml:space="preserve">States must </w:t>
      </w:r>
      <w:r w:rsidR="007D3F72">
        <w:rPr>
          <w:rFonts w:ascii="Palatino Linotype" w:hAnsi="Palatino Linotype"/>
        </w:rPr>
        <w:t>also</w:t>
      </w:r>
      <w:r w:rsidR="007B39B1" w:rsidRPr="002A4589">
        <w:rPr>
          <w:rFonts w:ascii="Palatino Linotype" w:hAnsi="Palatino Linotype"/>
        </w:rPr>
        <w:t xml:space="preserve"> reject arms imports </w:t>
      </w:r>
      <w:r w:rsidR="00813B0C">
        <w:rPr>
          <w:rFonts w:ascii="Palatino Linotype" w:hAnsi="Palatino Linotype"/>
        </w:rPr>
        <w:t>from the occupying power</w:t>
      </w:r>
      <w:r w:rsidR="007B39B1" w:rsidRPr="002A4589">
        <w:rPr>
          <w:rFonts w:ascii="Palatino Linotype" w:hAnsi="Palatino Linotype"/>
        </w:rPr>
        <w:t>,</w:t>
      </w:r>
      <w:r w:rsidR="005B2139">
        <w:rPr>
          <w:rFonts w:ascii="Palatino Linotype" w:hAnsi="Palatino Linotype"/>
        </w:rPr>
        <w:t xml:space="preserve"> </w:t>
      </w:r>
      <w:r w:rsidR="00D33E83">
        <w:rPr>
          <w:rFonts w:ascii="Palatino Linotype" w:hAnsi="Palatino Linotype"/>
        </w:rPr>
        <w:t>as they</w:t>
      </w:r>
      <w:r w:rsidR="005B2139">
        <w:rPr>
          <w:rFonts w:ascii="Palatino Linotype" w:hAnsi="Palatino Linotype"/>
        </w:rPr>
        <w:t xml:space="preserve"> are labelled ‘b</w:t>
      </w:r>
      <w:r w:rsidR="00D33E83">
        <w:rPr>
          <w:rFonts w:ascii="Palatino Linotype" w:hAnsi="Palatino Linotype"/>
        </w:rPr>
        <w:t>attle-tested’,</w:t>
      </w:r>
      <w:r w:rsidR="007B39B1" w:rsidRPr="002A4589">
        <w:rPr>
          <w:rFonts w:ascii="Palatino Linotype" w:hAnsi="Palatino Linotype"/>
        </w:rPr>
        <w:t xml:space="preserve"> a</w:t>
      </w:r>
      <w:r w:rsidR="00D33E83">
        <w:rPr>
          <w:rFonts w:ascii="Palatino Linotype" w:hAnsi="Palatino Linotype"/>
        </w:rPr>
        <w:t>nd</w:t>
      </w:r>
      <w:r w:rsidR="007B39B1" w:rsidRPr="002A4589">
        <w:rPr>
          <w:rFonts w:ascii="Palatino Linotype" w:hAnsi="Palatino Linotype"/>
        </w:rPr>
        <w:t xml:space="preserve"> </w:t>
      </w:r>
      <w:r w:rsidR="00B23E9A">
        <w:rPr>
          <w:rFonts w:ascii="Palatino Linotype" w:hAnsi="Palatino Linotype"/>
        </w:rPr>
        <w:t>importing</w:t>
      </w:r>
      <w:r w:rsidR="007B39B1" w:rsidRPr="002A4589">
        <w:rPr>
          <w:rFonts w:ascii="Palatino Linotype" w:hAnsi="Palatino Linotype"/>
        </w:rPr>
        <w:t xml:space="preserve"> them </w:t>
      </w:r>
      <w:r w:rsidR="00813B0C">
        <w:rPr>
          <w:rFonts w:ascii="Palatino Linotype" w:hAnsi="Palatino Linotype"/>
        </w:rPr>
        <w:t>rewards</w:t>
      </w:r>
      <w:r w:rsidR="007B39B1" w:rsidRPr="002A4589">
        <w:rPr>
          <w:rFonts w:ascii="Palatino Linotype" w:hAnsi="Palatino Linotype"/>
        </w:rPr>
        <w:t xml:space="preserve"> impunity and </w:t>
      </w:r>
      <w:r w:rsidR="00FB5BEC">
        <w:rPr>
          <w:rFonts w:ascii="Palatino Linotype" w:hAnsi="Palatino Linotype"/>
        </w:rPr>
        <w:t>helps to entrench the unlawful occupation.</w:t>
      </w:r>
    </w:p>
    <w:p w14:paraId="4FD9F277" w14:textId="22ACC9DE" w:rsidR="00F47B29" w:rsidRPr="00FD1AEE" w:rsidRDefault="008A0416" w:rsidP="00F73B23">
      <w:pPr>
        <w:spacing w:line="276" w:lineRule="auto"/>
        <w:ind w:left="-426" w:right="-138"/>
        <w:jc w:val="both"/>
        <w:rPr>
          <w:rFonts w:ascii="Palatino Linotype" w:hAnsi="Palatino Linotype"/>
          <w:lang w:val="en-US"/>
        </w:rPr>
      </w:pPr>
      <w:r w:rsidRPr="002A4589">
        <w:rPr>
          <w:rFonts w:ascii="Palatino Linotype" w:hAnsi="Palatino Linotype"/>
        </w:rPr>
        <w:t>State</w:t>
      </w:r>
      <w:r w:rsidR="00B3222D" w:rsidRPr="002A4589">
        <w:rPr>
          <w:rFonts w:ascii="Palatino Linotype" w:hAnsi="Palatino Linotype"/>
        </w:rPr>
        <w:t xml:space="preserve"> obligations</w:t>
      </w:r>
      <w:r w:rsidRPr="002A4589">
        <w:rPr>
          <w:rFonts w:ascii="Palatino Linotype" w:hAnsi="Palatino Linotype"/>
        </w:rPr>
        <w:t xml:space="preserve"> under the ATT</w:t>
      </w:r>
      <w:r w:rsidR="00B3222D" w:rsidRPr="002A4589">
        <w:rPr>
          <w:rFonts w:ascii="Palatino Linotype" w:hAnsi="Palatino Linotype"/>
        </w:rPr>
        <w:t xml:space="preserve"> cannot be treated as optional, political or conditional. </w:t>
      </w:r>
      <w:r w:rsidRPr="002A4589">
        <w:rPr>
          <w:rFonts w:ascii="Palatino Linotype" w:hAnsi="Palatino Linotype"/>
        </w:rPr>
        <w:t xml:space="preserve">If they are, then that is politicisation of the treaty. </w:t>
      </w:r>
    </w:p>
    <w:p w14:paraId="566F9490" w14:textId="7EAC5B19" w:rsidR="00F47B29" w:rsidRDefault="00342F62" w:rsidP="00F73B23">
      <w:pPr>
        <w:spacing w:line="276" w:lineRule="auto"/>
        <w:ind w:left="-426" w:right="-138"/>
        <w:jc w:val="both"/>
        <w:rPr>
          <w:rFonts w:ascii="Palatino Linotype" w:hAnsi="Palatino Linotype"/>
        </w:rPr>
      </w:pPr>
      <w:r>
        <w:rPr>
          <w:rFonts w:ascii="Palatino Linotype" w:hAnsi="Palatino Linotype"/>
        </w:rPr>
        <w:t>M</w:t>
      </w:r>
      <w:r w:rsidR="00F73B23">
        <w:rPr>
          <w:rFonts w:ascii="Palatino Linotype" w:hAnsi="Palatino Linotype"/>
        </w:rPr>
        <w:t xml:space="preserve">adam </w:t>
      </w:r>
      <w:r>
        <w:rPr>
          <w:rFonts w:ascii="Palatino Linotype" w:hAnsi="Palatino Linotype"/>
        </w:rPr>
        <w:t xml:space="preserve">Chair, </w:t>
      </w:r>
      <w:r w:rsidR="00200657" w:rsidRPr="002A4589">
        <w:rPr>
          <w:rFonts w:ascii="Palatino Linotype" w:hAnsi="Palatino Linotype"/>
        </w:rPr>
        <w:t xml:space="preserve">we are disappointed </w:t>
      </w:r>
      <w:r w:rsidR="001F5C5E" w:rsidRPr="002A4589">
        <w:rPr>
          <w:rFonts w:ascii="Palatino Linotype" w:hAnsi="Palatino Linotype"/>
        </w:rPr>
        <w:t>that</w:t>
      </w:r>
      <w:r w:rsidR="00200657" w:rsidRPr="002A4589">
        <w:rPr>
          <w:rFonts w:ascii="Palatino Linotype" w:hAnsi="Palatino Linotype"/>
        </w:rPr>
        <w:t xml:space="preserve"> some States and groups </w:t>
      </w:r>
      <w:r w:rsidR="001F5C5E" w:rsidRPr="002A4589">
        <w:rPr>
          <w:rFonts w:ascii="Palatino Linotype" w:hAnsi="Palatino Linotype"/>
        </w:rPr>
        <w:t>have failed to</w:t>
      </w:r>
      <w:r w:rsidR="00200657" w:rsidRPr="002A4589">
        <w:rPr>
          <w:rFonts w:ascii="Palatino Linotype" w:hAnsi="Palatino Linotype"/>
        </w:rPr>
        <w:t xml:space="preserve"> clearly </w:t>
      </w:r>
      <w:r w:rsidR="008A0416" w:rsidRPr="002A4589">
        <w:rPr>
          <w:rFonts w:ascii="Palatino Linotype" w:hAnsi="Palatino Linotype"/>
        </w:rPr>
        <w:t xml:space="preserve">address the situation </w:t>
      </w:r>
      <w:r w:rsidR="00200657" w:rsidRPr="002A4589">
        <w:rPr>
          <w:rFonts w:ascii="Palatino Linotype" w:hAnsi="Palatino Linotype"/>
        </w:rPr>
        <w:t>of</w:t>
      </w:r>
      <w:r w:rsidR="008A0416" w:rsidRPr="002A4589">
        <w:rPr>
          <w:rFonts w:ascii="Palatino Linotype" w:hAnsi="Palatino Linotype"/>
        </w:rPr>
        <w:t xml:space="preserve"> Palestine</w:t>
      </w:r>
      <w:r w:rsidR="00FE03A1" w:rsidRPr="002A4589">
        <w:rPr>
          <w:rFonts w:ascii="Palatino Linotype" w:hAnsi="Palatino Linotype"/>
        </w:rPr>
        <w:t xml:space="preserve"> in this forum</w:t>
      </w:r>
      <w:r w:rsidR="00200657" w:rsidRPr="002A4589">
        <w:rPr>
          <w:rFonts w:ascii="Palatino Linotype" w:hAnsi="Palatino Linotype"/>
        </w:rPr>
        <w:t xml:space="preserve">. </w:t>
      </w:r>
      <w:r w:rsidR="0086668E" w:rsidRPr="002A4589">
        <w:rPr>
          <w:rFonts w:ascii="Palatino Linotype" w:hAnsi="Palatino Linotype"/>
        </w:rPr>
        <w:t>The situation of Pales</w:t>
      </w:r>
      <w:r w:rsidR="00C94AAA" w:rsidRPr="002A4589">
        <w:rPr>
          <w:rFonts w:ascii="Palatino Linotype" w:hAnsi="Palatino Linotype"/>
        </w:rPr>
        <w:t xml:space="preserve">tine remains </w:t>
      </w:r>
      <w:r w:rsidR="00FE03A1" w:rsidRPr="002A4589">
        <w:rPr>
          <w:rFonts w:ascii="Palatino Linotype" w:hAnsi="Palatino Linotype"/>
        </w:rPr>
        <w:t>one of the</w:t>
      </w:r>
      <w:r w:rsidR="00006EBA" w:rsidRPr="002A4589">
        <w:rPr>
          <w:rFonts w:ascii="Palatino Linotype" w:hAnsi="Palatino Linotype"/>
        </w:rPr>
        <w:t xml:space="preserve"> most relevant cases to the Treaty,</w:t>
      </w:r>
      <w:r w:rsidR="00FE03A1" w:rsidRPr="002A4589">
        <w:rPr>
          <w:rFonts w:ascii="Palatino Linotype" w:hAnsi="Palatino Linotype"/>
        </w:rPr>
        <w:t xml:space="preserve"> </w:t>
      </w:r>
      <w:r w:rsidR="00C94AAA" w:rsidRPr="002A4589">
        <w:rPr>
          <w:rFonts w:ascii="Palatino Linotype" w:hAnsi="Palatino Linotype"/>
        </w:rPr>
        <w:t>especially as a number of States Parties</w:t>
      </w:r>
      <w:r w:rsidR="00244600" w:rsidRPr="002A4589">
        <w:rPr>
          <w:rFonts w:ascii="Palatino Linotype" w:hAnsi="Palatino Linotype"/>
        </w:rPr>
        <w:t xml:space="preserve"> and Signatories</w:t>
      </w:r>
      <w:r w:rsidR="00C94AAA" w:rsidRPr="002A4589">
        <w:rPr>
          <w:rFonts w:ascii="Palatino Linotype" w:hAnsi="Palatino Linotype"/>
        </w:rPr>
        <w:t xml:space="preserve"> continue to engage</w:t>
      </w:r>
      <w:r w:rsidR="000E21FB" w:rsidRPr="002A4589">
        <w:rPr>
          <w:rFonts w:ascii="Palatino Linotype" w:hAnsi="Palatino Linotype"/>
        </w:rPr>
        <w:t xml:space="preserve"> in arms</w:t>
      </w:r>
      <w:r w:rsidR="00C94AAA" w:rsidRPr="002A4589">
        <w:rPr>
          <w:rFonts w:ascii="Palatino Linotype" w:hAnsi="Palatino Linotype"/>
        </w:rPr>
        <w:t xml:space="preserve"> transfer</w:t>
      </w:r>
      <w:r w:rsidR="000E21FB" w:rsidRPr="002A4589">
        <w:rPr>
          <w:rFonts w:ascii="Palatino Linotype" w:hAnsi="Palatino Linotype"/>
        </w:rPr>
        <w:t xml:space="preserve">s </w:t>
      </w:r>
      <w:r w:rsidR="00C94AAA" w:rsidRPr="002A4589">
        <w:rPr>
          <w:rFonts w:ascii="Palatino Linotype" w:hAnsi="Palatino Linotype"/>
        </w:rPr>
        <w:t xml:space="preserve">to and from Israel despite </w:t>
      </w:r>
      <w:r w:rsidR="000E21FB" w:rsidRPr="002A4589">
        <w:rPr>
          <w:rFonts w:ascii="Palatino Linotype" w:hAnsi="Palatino Linotype"/>
        </w:rPr>
        <w:t>the overwhelming body of evidence that such transfers are unlawful.</w:t>
      </w:r>
      <w:r w:rsidR="001F5C5E" w:rsidRPr="002A4589">
        <w:rPr>
          <w:rFonts w:ascii="Palatino Linotype" w:hAnsi="Palatino Linotype"/>
        </w:rPr>
        <w:t xml:space="preserve"> Refusing or failing to address this situation is in itself a form </w:t>
      </w:r>
      <w:r w:rsidR="008F0DA2" w:rsidRPr="002A4589">
        <w:rPr>
          <w:rFonts w:ascii="Palatino Linotype" w:hAnsi="Palatino Linotype"/>
        </w:rPr>
        <w:t>of politicisation which must stop.</w:t>
      </w:r>
    </w:p>
    <w:p w14:paraId="07F52215" w14:textId="77777777" w:rsidR="00F73B23" w:rsidRDefault="00F73B23" w:rsidP="00F73B23">
      <w:pPr>
        <w:spacing w:line="276" w:lineRule="auto"/>
        <w:ind w:left="-426" w:right="-138"/>
        <w:jc w:val="both"/>
        <w:rPr>
          <w:rFonts w:ascii="Palatino Linotype" w:hAnsi="Palatino Linotype"/>
        </w:rPr>
      </w:pPr>
    </w:p>
    <w:p w14:paraId="5F69DDB3" w14:textId="77777777" w:rsidR="00F73B23" w:rsidRPr="002A4589" w:rsidRDefault="00F73B23" w:rsidP="00F73B23">
      <w:pPr>
        <w:spacing w:line="276" w:lineRule="auto"/>
        <w:ind w:left="-426" w:right="-138"/>
        <w:jc w:val="both"/>
        <w:rPr>
          <w:rFonts w:ascii="Palatino Linotype" w:hAnsi="Palatino Linotype"/>
        </w:rPr>
      </w:pPr>
    </w:p>
    <w:p w14:paraId="69D4A421" w14:textId="77777777" w:rsidR="00AB2DB4" w:rsidRPr="002A4589" w:rsidRDefault="00B3222D" w:rsidP="00F73B23">
      <w:pPr>
        <w:spacing w:line="276" w:lineRule="auto"/>
        <w:ind w:left="-426" w:right="-138"/>
        <w:jc w:val="both"/>
        <w:rPr>
          <w:rFonts w:ascii="Palatino Linotype" w:hAnsi="Palatino Linotype"/>
          <w:lang w:val="en-US"/>
        </w:rPr>
      </w:pPr>
      <w:r w:rsidRPr="002A4589">
        <w:rPr>
          <w:rFonts w:ascii="Palatino Linotype" w:hAnsi="Palatino Linotype"/>
        </w:rPr>
        <w:lastRenderedPageBreak/>
        <w:t>Palestine therefore calls upon States Parties and signatories to:</w:t>
      </w:r>
    </w:p>
    <w:p w14:paraId="79A71DF6" w14:textId="56C815FB" w:rsidR="00E361DB" w:rsidRPr="00F73B23" w:rsidRDefault="00B97186" w:rsidP="00F73B23">
      <w:pPr>
        <w:spacing w:line="276" w:lineRule="auto"/>
        <w:ind w:left="-426" w:right="-138"/>
        <w:jc w:val="both"/>
        <w:rPr>
          <w:rFonts w:ascii="Palatino Linotype" w:hAnsi="Palatino Linotype"/>
          <w:lang w:val="en-US"/>
        </w:rPr>
      </w:pPr>
      <w:r>
        <w:rPr>
          <w:rFonts w:ascii="Palatino Linotype" w:hAnsi="Palatino Linotype"/>
        </w:rPr>
        <w:t xml:space="preserve">End </w:t>
      </w:r>
      <w:r w:rsidR="004D0C0E" w:rsidRPr="002A4589">
        <w:rPr>
          <w:rFonts w:ascii="Palatino Linotype" w:hAnsi="Palatino Linotype"/>
        </w:rPr>
        <w:t>arms transfers and related assistance to Israel, strengthen controls on brokering, transit, trans-shipment and diversion, and ensure risk assessments</w:t>
      </w:r>
      <w:r w:rsidR="00F66D2C">
        <w:rPr>
          <w:rFonts w:ascii="Palatino Linotype" w:hAnsi="Palatino Linotype"/>
        </w:rPr>
        <w:t>. Also abide by the</w:t>
      </w:r>
      <w:r w:rsidR="004D0C0E" w:rsidRPr="002A4589">
        <w:rPr>
          <w:rFonts w:ascii="Palatino Linotype" w:hAnsi="Palatino Linotype"/>
        </w:rPr>
        <w:t xml:space="preserve"> </w:t>
      </w:r>
      <w:r w:rsidR="00106936">
        <w:rPr>
          <w:rFonts w:ascii="Palatino Linotype" w:hAnsi="Palatino Linotype"/>
        </w:rPr>
        <w:t>orders of</w:t>
      </w:r>
      <w:r w:rsidR="004D0C0E" w:rsidRPr="002A4589">
        <w:rPr>
          <w:rFonts w:ascii="Palatino Linotype" w:hAnsi="Palatino Linotype"/>
        </w:rPr>
        <w:t xml:space="preserve"> the ICJ</w:t>
      </w:r>
      <w:r w:rsidR="00106936">
        <w:rPr>
          <w:rFonts w:ascii="Palatino Linotype" w:hAnsi="Palatino Linotype"/>
        </w:rPr>
        <w:t xml:space="preserve"> and</w:t>
      </w:r>
      <w:r w:rsidR="004D0C0E" w:rsidRPr="002A4589">
        <w:rPr>
          <w:rFonts w:ascii="Palatino Linotype" w:hAnsi="Palatino Linotype"/>
        </w:rPr>
        <w:t xml:space="preserve"> th</w:t>
      </w:r>
      <w:r w:rsidR="00413249">
        <w:rPr>
          <w:rFonts w:ascii="Palatino Linotype" w:hAnsi="Palatino Linotype"/>
        </w:rPr>
        <w:t>e ru</w:t>
      </w:r>
      <w:r w:rsidR="0033130C">
        <w:rPr>
          <w:rFonts w:ascii="Palatino Linotype" w:hAnsi="Palatino Linotype"/>
        </w:rPr>
        <w:t>les of the</w:t>
      </w:r>
      <w:r w:rsidR="00413249">
        <w:rPr>
          <w:rFonts w:ascii="Palatino Linotype" w:hAnsi="Palatino Linotype"/>
        </w:rPr>
        <w:t xml:space="preserve"> treaty.</w:t>
      </w:r>
    </w:p>
    <w:p w14:paraId="1629109D" w14:textId="3EAD64FE" w:rsidR="004D0C0E" w:rsidRPr="002A4589" w:rsidRDefault="0033130C" w:rsidP="00F73B23">
      <w:pPr>
        <w:spacing w:line="276" w:lineRule="auto"/>
        <w:ind w:left="-426" w:right="-138"/>
        <w:jc w:val="both"/>
        <w:rPr>
          <w:rFonts w:ascii="Palatino Linotype" w:hAnsi="Palatino Linotype"/>
          <w:lang w:val="en-US"/>
        </w:rPr>
      </w:pPr>
      <w:r>
        <w:rPr>
          <w:rFonts w:ascii="Palatino Linotype" w:hAnsi="Palatino Linotype"/>
        </w:rPr>
        <w:t>As all</w:t>
      </w:r>
      <w:r w:rsidR="004D0C0E" w:rsidRPr="002A4589">
        <w:rPr>
          <w:rFonts w:ascii="Palatino Linotype" w:hAnsi="Palatino Linotype"/>
        </w:rPr>
        <w:t xml:space="preserve"> States have reiterated their commitment to the Treaty. We urge them to uphold that commitment to international law, civilian protection, and accountability through clear and substantive action on the situation in Palestine.</w:t>
      </w:r>
    </w:p>
    <w:p w14:paraId="65907B59" w14:textId="37855181" w:rsidR="00F325F7" w:rsidRPr="002A4589" w:rsidRDefault="00F325F7" w:rsidP="00F73B23">
      <w:pPr>
        <w:spacing w:line="276" w:lineRule="auto"/>
        <w:ind w:left="-426" w:right="-138"/>
        <w:jc w:val="both"/>
        <w:rPr>
          <w:rFonts w:ascii="Palatino Linotype" w:hAnsi="Palatino Linotype"/>
        </w:rPr>
      </w:pPr>
      <w:r w:rsidRPr="002A4589">
        <w:rPr>
          <w:rFonts w:ascii="Palatino Linotype" w:hAnsi="Palatino Linotype"/>
        </w:rPr>
        <w:t>I thank y</w:t>
      </w:r>
      <w:r w:rsidR="00C8061E" w:rsidRPr="002A4589">
        <w:rPr>
          <w:rFonts w:ascii="Palatino Linotype" w:hAnsi="Palatino Linotype"/>
        </w:rPr>
        <w:t>ou.</w:t>
      </w:r>
    </w:p>
    <w:p w14:paraId="2FD29891" w14:textId="77777777" w:rsidR="009D5C73" w:rsidRPr="002A4589" w:rsidRDefault="009D5C73" w:rsidP="00F73B23">
      <w:pPr>
        <w:spacing w:line="276" w:lineRule="auto"/>
        <w:ind w:right="-138"/>
        <w:jc w:val="both"/>
        <w:rPr>
          <w:rFonts w:ascii="Palatino Linotype" w:hAnsi="Palatino Linotype"/>
          <w:lang w:val="en-US"/>
        </w:rPr>
      </w:pPr>
    </w:p>
    <w:sectPr w:rsidR="009D5C73" w:rsidRPr="002A4589">
      <w:headerReference w:type="default" r:id="rId6"/>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F1B7F" w14:textId="77777777" w:rsidR="00FD1AEE" w:rsidRDefault="00FD1AEE" w:rsidP="00FD1AEE">
      <w:pPr>
        <w:spacing w:after="0" w:line="240" w:lineRule="auto"/>
      </w:pPr>
      <w:r>
        <w:separator/>
      </w:r>
    </w:p>
  </w:endnote>
  <w:endnote w:type="continuationSeparator" w:id="0">
    <w:p w14:paraId="51825984" w14:textId="77777777" w:rsidR="00FD1AEE" w:rsidRDefault="00FD1AEE" w:rsidP="00FD1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Edwardian Script ITC">
    <w:panose1 w:val="030303020407070D0804"/>
    <w:charset w:val="4D"/>
    <w:family w:val="script"/>
    <w:pitch w:val="variable"/>
    <w:sig w:usb0="00000003" w:usb1="00000000" w:usb2="00000000" w:usb3="00000000" w:csb0="00000001" w:csb1="00000000"/>
  </w:font>
  <w:font w:name="Al-Kharashi Diwani 1">
    <w:altName w:val="Times New Roman"/>
    <w:panose1 w:val="020B0604020202020204"/>
    <w:charset w:val="B2"/>
    <w:family w:val="auto"/>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3776083"/>
      <w:docPartObj>
        <w:docPartGallery w:val="Page Numbers (Bottom of Page)"/>
        <w:docPartUnique/>
      </w:docPartObj>
    </w:sdtPr>
    <w:sdtContent>
      <w:p w14:paraId="47AF2B5B" w14:textId="115EA52A" w:rsidR="00FD1AEE" w:rsidRDefault="00FD1AEE" w:rsidP="00B6000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CA8641" w14:textId="77777777" w:rsidR="00FD1AEE" w:rsidRDefault="00FD1A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8271266"/>
      <w:docPartObj>
        <w:docPartGallery w:val="Page Numbers (Bottom of Page)"/>
        <w:docPartUnique/>
      </w:docPartObj>
    </w:sdtPr>
    <w:sdtContent>
      <w:p w14:paraId="2CDF7E93" w14:textId="3162498F" w:rsidR="00FD1AEE" w:rsidRDefault="00FD1AEE" w:rsidP="00B6000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F8AA6E" w14:textId="77777777" w:rsidR="00FD1AEE" w:rsidRDefault="00FD1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056B" w14:textId="77777777" w:rsidR="00FD1AEE" w:rsidRDefault="00FD1AEE" w:rsidP="00FD1AEE">
      <w:pPr>
        <w:spacing w:after="0" w:line="240" w:lineRule="auto"/>
      </w:pPr>
      <w:r>
        <w:separator/>
      </w:r>
    </w:p>
  </w:footnote>
  <w:footnote w:type="continuationSeparator" w:id="0">
    <w:p w14:paraId="1D5E2D62" w14:textId="77777777" w:rsidR="00FD1AEE" w:rsidRDefault="00FD1AEE" w:rsidP="00FD1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457" w:type="dxa"/>
      <w:tblInd w:w="-20" w:type="dxa"/>
      <w:tblLook w:val="04A0" w:firstRow="1" w:lastRow="0" w:firstColumn="1" w:lastColumn="0" w:noHBand="0" w:noVBand="1"/>
    </w:tblPr>
    <w:tblGrid>
      <w:gridCol w:w="4016"/>
      <w:gridCol w:w="1686"/>
      <w:gridCol w:w="3755"/>
    </w:tblGrid>
    <w:tr w:rsidR="00FD1AEE" w:rsidRPr="00FD1AEE" w14:paraId="572ED95B" w14:textId="77777777" w:rsidTr="0047214E">
      <w:trPr>
        <w:trHeight w:val="3109"/>
      </w:trPr>
      <w:tc>
        <w:tcPr>
          <w:tcW w:w="4016" w:type="dxa"/>
        </w:tcPr>
        <w:p w14:paraId="4185FC56" w14:textId="77777777" w:rsidR="00FD1AEE" w:rsidRPr="00FD1AEE" w:rsidRDefault="00FD1AEE" w:rsidP="00FD1AEE">
          <w:pPr>
            <w:tabs>
              <w:tab w:val="center" w:pos="4320"/>
              <w:tab w:val="right" w:pos="8640"/>
            </w:tabs>
            <w:bidi/>
            <w:spacing w:line="259" w:lineRule="auto"/>
            <w:ind w:left="133" w:right="80"/>
            <w:rPr>
              <w:rFonts w:ascii="Edwardian Script ITC" w:eastAsia="Times New Roman" w:hAnsi="Edwardian Script ITC" w:cs="Al-Kharashi Diwani 1"/>
              <w:kern w:val="0"/>
              <w:sz w:val="22"/>
              <w:szCs w:val="22"/>
              <w:lang w:val="en-US" w:eastAsia="fr-CH" w:bidi="ar-AE"/>
              <w14:ligatures w14:val="none"/>
            </w:rPr>
          </w:pPr>
        </w:p>
        <w:p w14:paraId="4C2E47A8" w14:textId="77777777" w:rsidR="00FD1AEE" w:rsidRPr="00FD1AEE" w:rsidRDefault="00FD1AEE" w:rsidP="00FD1AEE">
          <w:pPr>
            <w:tabs>
              <w:tab w:val="center" w:pos="4320"/>
              <w:tab w:val="right" w:pos="8640"/>
            </w:tabs>
            <w:bidi/>
            <w:spacing w:line="259" w:lineRule="auto"/>
            <w:ind w:right="80"/>
            <w:jc w:val="center"/>
            <w:rPr>
              <w:rFonts w:ascii="Edwardian Script ITC" w:eastAsia="Times New Roman" w:hAnsi="Edwardian Script ITC" w:cs="Al-Kharashi Diwani 1"/>
              <w:i/>
              <w:iCs/>
              <w:kern w:val="0"/>
              <w:sz w:val="40"/>
              <w:szCs w:val="40"/>
              <w:rtl/>
              <w:lang w:eastAsia="fr-CH" w:bidi="ar-AE"/>
              <w14:ligatures w14:val="none"/>
            </w:rPr>
          </w:pPr>
          <w:r w:rsidRPr="00FD1AEE">
            <w:rPr>
              <w:rFonts w:ascii="Edwardian Script ITC" w:eastAsia="Times New Roman" w:hAnsi="Edwardian Script ITC" w:cs="Al-Kharashi Diwani 1"/>
              <w:i/>
              <w:iCs/>
              <w:kern w:val="0"/>
              <w:sz w:val="52"/>
              <w:szCs w:val="52"/>
              <w:rtl/>
              <w:lang w:eastAsia="fr-CH" w:bidi="ar-AE"/>
              <w14:ligatures w14:val="none"/>
            </w:rPr>
            <w:t>دولة فلسطين</w:t>
          </w:r>
        </w:p>
        <w:p w14:paraId="267FDEC3" w14:textId="77777777" w:rsidR="00FD1AEE" w:rsidRPr="00FD1AEE" w:rsidRDefault="00FD1AEE" w:rsidP="00FD1AEE">
          <w:pPr>
            <w:tabs>
              <w:tab w:val="center" w:pos="4320"/>
              <w:tab w:val="right" w:pos="8640"/>
            </w:tabs>
            <w:bidi/>
            <w:spacing w:line="259" w:lineRule="auto"/>
            <w:ind w:right="80"/>
            <w:jc w:val="center"/>
            <w:rPr>
              <w:rFonts w:ascii="Edwardian Script ITC" w:eastAsia="Times New Roman" w:hAnsi="Edwardian Script ITC" w:cs="Al-Kharashi Diwani 1"/>
              <w:kern w:val="0"/>
              <w:sz w:val="16"/>
              <w:szCs w:val="16"/>
              <w:rtl/>
              <w:lang w:eastAsia="fr-CH" w:bidi="ar-AE"/>
              <w14:ligatures w14:val="none"/>
            </w:rPr>
          </w:pPr>
        </w:p>
        <w:p w14:paraId="12919371" w14:textId="77777777" w:rsidR="00FD1AEE" w:rsidRPr="00FD1AEE" w:rsidRDefault="00FD1AEE" w:rsidP="00FD1AEE">
          <w:pPr>
            <w:tabs>
              <w:tab w:val="center" w:pos="4320"/>
              <w:tab w:val="right" w:pos="8640"/>
            </w:tabs>
            <w:bidi/>
            <w:spacing w:line="259" w:lineRule="auto"/>
            <w:ind w:right="80"/>
            <w:jc w:val="center"/>
            <w:rPr>
              <w:rFonts w:ascii="Times New Roman" w:eastAsia="Times New Roman" w:hAnsi="Times New Roman" w:cs="Al-Kharashi Diwani 1"/>
              <w:kern w:val="0"/>
              <w:sz w:val="28"/>
              <w:szCs w:val="28"/>
              <w:rtl/>
              <w:lang w:eastAsia="fr-CH" w:bidi="ar-AE"/>
              <w14:ligatures w14:val="none"/>
            </w:rPr>
          </w:pPr>
          <w:r w:rsidRPr="00FD1AEE">
            <w:rPr>
              <w:rFonts w:ascii="Edwardian Script ITC" w:eastAsia="Times New Roman" w:hAnsi="Edwardian Script ITC" w:cs="Al-Kharashi Diwani 1"/>
              <w:kern w:val="0"/>
              <w:sz w:val="28"/>
              <w:szCs w:val="28"/>
              <w:rtl/>
              <w:lang w:eastAsia="fr-CH" w:bidi="ar-AE"/>
              <w14:ligatures w14:val="none"/>
            </w:rPr>
            <w:t>البعثة المراقبة الدائمة لدى</w:t>
          </w:r>
          <w:r w:rsidRPr="00FD1AEE">
            <w:rPr>
              <w:rFonts w:ascii="Times New Roman" w:eastAsia="Times New Roman" w:hAnsi="Times New Roman" w:cs="Al-Kharashi Diwani 1"/>
              <w:kern w:val="0"/>
              <w:sz w:val="28"/>
              <w:szCs w:val="28"/>
              <w:rtl/>
              <w:lang w:eastAsia="fr-CH" w:bidi="ar-AE"/>
              <w14:ligatures w14:val="none"/>
            </w:rPr>
            <w:t xml:space="preserve"> الأمم المتحدة</w:t>
          </w:r>
        </w:p>
        <w:p w14:paraId="75D21D28" w14:textId="77777777" w:rsidR="00FD1AEE" w:rsidRPr="00FD1AEE" w:rsidRDefault="00FD1AEE" w:rsidP="00FD1AE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r w:rsidRPr="00FD1AEE">
            <w:rPr>
              <w:rFonts w:ascii="Times New Roman" w:eastAsia="Times New Roman" w:hAnsi="Times New Roman" w:cs="Al-Kharashi Diwani 1"/>
              <w:kern w:val="0"/>
              <w:sz w:val="32"/>
              <w:szCs w:val="32"/>
              <w:rtl/>
              <w:lang w:eastAsia="fr-CH"/>
              <w14:ligatures w14:val="none"/>
            </w:rPr>
            <w:t>جنيف</w:t>
          </w:r>
        </w:p>
      </w:tc>
      <w:tc>
        <w:tcPr>
          <w:tcW w:w="1686" w:type="dxa"/>
        </w:tcPr>
        <w:p w14:paraId="18B56FD6" w14:textId="77777777" w:rsidR="00FD1AEE" w:rsidRPr="00FD1AEE" w:rsidRDefault="00FD1AEE" w:rsidP="00FD1AE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p>
        <w:p w14:paraId="0390123A" w14:textId="77777777" w:rsidR="00FD1AEE" w:rsidRPr="00FD1AEE" w:rsidRDefault="00FD1AEE" w:rsidP="00FD1AE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bookmarkStart w:id="0" w:name="_Hlk92202228"/>
          <w:r w:rsidRPr="00FD1AEE">
            <w:rPr>
              <w:rFonts w:ascii="Times New Roman" w:eastAsia="Times New Roman" w:hAnsi="Times New Roman" w:cs="Times New Roman"/>
              <w:noProof/>
              <w:kern w:val="0"/>
              <w:sz w:val="22"/>
              <w:szCs w:val="22"/>
              <w:lang w:eastAsia="fr-FR"/>
              <w14:ligatures w14:val="none"/>
            </w:rPr>
            <w:drawing>
              <wp:inline distT="0" distB="0" distL="0" distR="0" wp14:anchorId="56896FD1" wp14:editId="719381FC">
                <wp:extent cx="733425" cy="1095375"/>
                <wp:effectExtent l="0" t="0" r="0" b="0"/>
                <wp:docPr id="1920001105" name="Imag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1095375"/>
                        </a:xfrm>
                        <a:prstGeom prst="rect">
                          <a:avLst/>
                        </a:prstGeom>
                        <a:noFill/>
                        <a:ln>
                          <a:noFill/>
                        </a:ln>
                      </pic:spPr>
                    </pic:pic>
                  </a:graphicData>
                </a:graphic>
              </wp:inline>
            </w:drawing>
          </w:r>
          <w:bookmarkEnd w:id="0"/>
        </w:p>
        <w:p w14:paraId="4917F85D" w14:textId="77777777" w:rsidR="00FD1AEE" w:rsidRPr="00FD1AEE" w:rsidRDefault="00FD1AEE" w:rsidP="00FD1AE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p>
      </w:tc>
      <w:tc>
        <w:tcPr>
          <w:tcW w:w="3755" w:type="dxa"/>
        </w:tcPr>
        <w:p w14:paraId="379FD197" w14:textId="77777777" w:rsidR="00FD1AEE" w:rsidRPr="00FD1AEE" w:rsidRDefault="00FD1AEE" w:rsidP="00FD1AEE">
          <w:pPr>
            <w:tabs>
              <w:tab w:val="center" w:pos="4320"/>
              <w:tab w:val="right" w:pos="8640"/>
            </w:tabs>
            <w:bidi/>
            <w:spacing w:line="360" w:lineRule="auto"/>
            <w:ind w:right="80"/>
            <w:rPr>
              <w:rFonts w:ascii="Monotype Corsiva" w:eastAsia="Times New Roman" w:hAnsi="Monotype Corsiva" w:cs="Times New Roman"/>
              <w:b/>
              <w:bCs/>
              <w:kern w:val="0"/>
              <w:sz w:val="16"/>
              <w:szCs w:val="16"/>
              <w:lang w:val="en-US" w:eastAsia="fr-CH" w:bidi="ar-AE"/>
              <w14:ligatures w14:val="none"/>
            </w:rPr>
          </w:pPr>
        </w:p>
        <w:p w14:paraId="0938647A" w14:textId="77777777" w:rsidR="00FD1AEE" w:rsidRPr="00FD1AEE" w:rsidRDefault="00FD1AEE" w:rsidP="00FD1AEE">
          <w:pPr>
            <w:tabs>
              <w:tab w:val="center" w:pos="4320"/>
              <w:tab w:val="right" w:pos="8640"/>
            </w:tabs>
            <w:bidi/>
            <w:spacing w:line="360" w:lineRule="auto"/>
            <w:ind w:right="80"/>
            <w:jc w:val="center"/>
            <w:rPr>
              <w:rFonts w:ascii="Monotype Corsiva" w:eastAsia="Times New Roman" w:hAnsi="Monotype Corsiva" w:cs="Times New Roman"/>
              <w:b/>
              <w:bCs/>
              <w:i/>
              <w:iCs/>
              <w:kern w:val="0"/>
              <w:sz w:val="36"/>
              <w:szCs w:val="36"/>
              <w:lang w:eastAsia="fr-CH"/>
              <w14:ligatures w14:val="none"/>
            </w:rPr>
          </w:pPr>
          <w:r w:rsidRPr="00FD1AEE">
            <w:rPr>
              <w:rFonts w:ascii="Monotype Corsiva" w:eastAsia="Times New Roman" w:hAnsi="Monotype Corsiva" w:cs="Times New Roman"/>
              <w:b/>
              <w:bCs/>
              <w:i/>
              <w:iCs/>
              <w:kern w:val="0"/>
              <w:sz w:val="36"/>
              <w:szCs w:val="36"/>
              <w:lang w:eastAsia="fr-CH"/>
              <w14:ligatures w14:val="none"/>
            </w:rPr>
            <w:t>State of Palestine</w:t>
          </w:r>
        </w:p>
        <w:p w14:paraId="53734EE5" w14:textId="77777777" w:rsidR="00FD1AEE" w:rsidRPr="00FD1AEE" w:rsidRDefault="00FD1AEE" w:rsidP="00FD1AEE">
          <w:pPr>
            <w:tabs>
              <w:tab w:val="center" w:pos="4320"/>
              <w:tab w:val="right" w:pos="8640"/>
            </w:tabs>
            <w:bidi/>
            <w:spacing w:line="360" w:lineRule="auto"/>
            <w:ind w:right="80"/>
            <w:jc w:val="center"/>
            <w:rPr>
              <w:rFonts w:ascii="Monotype Corsiva" w:eastAsia="Times New Roman" w:hAnsi="Monotype Corsiva" w:cs="Times New Roman"/>
              <w:kern w:val="0"/>
              <w:sz w:val="22"/>
              <w:szCs w:val="22"/>
              <w:lang w:eastAsia="fr-CH"/>
              <w14:ligatures w14:val="none"/>
            </w:rPr>
          </w:pPr>
          <w:r w:rsidRPr="00FD1AEE">
            <w:rPr>
              <w:rFonts w:ascii="Monotype Corsiva" w:eastAsia="Times New Roman" w:hAnsi="Monotype Corsiva" w:cs="Times New Roman"/>
              <w:kern w:val="0"/>
              <w:sz w:val="22"/>
              <w:szCs w:val="22"/>
              <w:lang w:eastAsia="fr-CH"/>
              <w14:ligatures w14:val="none"/>
            </w:rPr>
            <w:t>Permanent Observer Mission to the United Nations</w:t>
          </w:r>
        </w:p>
        <w:p w14:paraId="09A69856" w14:textId="77777777" w:rsidR="00FD1AEE" w:rsidRPr="00FD1AEE" w:rsidRDefault="00FD1AEE" w:rsidP="00FD1AEE">
          <w:pPr>
            <w:tabs>
              <w:tab w:val="left" w:pos="205"/>
              <w:tab w:val="left" w:pos="1495"/>
              <w:tab w:val="center" w:pos="1970"/>
              <w:tab w:val="center" w:pos="2360"/>
              <w:tab w:val="center" w:pos="4320"/>
              <w:tab w:val="right" w:pos="8640"/>
            </w:tabs>
            <w:bidi/>
            <w:spacing w:line="360" w:lineRule="auto"/>
            <w:ind w:right="80"/>
            <w:jc w:val="center"/>
            <w:rPr>
              <w:rFonts w:ascii="Times New Roman" w:eastAsia="Times New Roman" w:hAnsi="Times New Roman" w:cs="Times New Roman"/>
              <w:kern w:val="0"/>
              <w:sz w:val="26"/>
              <w:szCs w:val="26"/>
              <w:lang w:eastAsia="fr-CH"/>
              <w14:ligatures w14:val="none"/>
            </w:rPr>
          </w:pPr>
          <w:r w:rsidRPr="00FD1AEE">
            <w:rPr>
              <w:rFonts w:ascii="Monotype Corsiva" w:eastAsia="Times New Roman" w:hAnsi="Monotype Corsiva" w:cs="Times New Roman"/>
              <w:kern w:val="0"/>
              <w:sz w:val="26"/>
              <w:szCs w:val="26"/>
              <w:lang w:eastAsia="fr-CH"/>
              <w14:ligatures w14:val="none"/>
            </w:rPr>
            <w:t>Geneva</w:t>
          </w:r>
        </w:p>
      </w:tc>
    </w:tr>
  </w:tbl>
  <w:p w14:paraId="45636CE7" w14:textId="77777777" w:rsidR="00FD1AEE" w:rsidRDefault="00FD1A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2D"/>
    <w:rsid w:val="00000C8B"/>
    <w:rsid w:val="00006EBA"/>
    <w:rsid w:val="000C1F7E"/>
    <w:rsid w:val="000D5FC5"/>
    <w:rsid w:val="000E21FB"/>
    <w:rsid w:val="00106936"/>
    <w:rsid w:val="00112EE3"/>
    <w:rsid w:val="00127A87"/>
    <w:rsid w:val="00151EDD"/>
    <w:rsid w:val="00173295"/>
    <w:rsid w:val="00191B85"/>
    <w:rsid w:val="001D1D23"/>
    <w:rsid w:val="001F0430"/>
    <w:rsid w:val="001F5C5E"/>
    <w:rsid w:val="00200657"/>
    <w:rsid w:val="00244600"/>
    <w:rsid w:val="002557E4"/>
    <w:rsid w:val="00290023"/>
    <w:rsid w:val="002A4589"/>
    <w:rsid w:val="002A4694"/>
    <w:rsid w:val="002E020B"/>
    <w:rsid w:val="0033130C"/>
    <w:rsid w:val="00335AAA"/>
    <w:rsid w:val="00336287"/>
    <w:rsid w:val="00342F62"/>
    <w:rsid w:val="003461B5"/>
    <w:rsid w:val="00352E8A"/>
    <w:rsid w:val="003624EF"/>
    <w:rsid w:val="00387B49"/>
    <w:rsid w:val="003C1665"/>
    <w:rsid w:val="003E16F5"/>
    <w:rsid w:val="003E702A"/>
    <w:rsid w:val="00413249"/>
    <w:rsid w:val="0045767A"/>
    <w:rsid w:val="00464917"/>
    <w:rsid w:val="004A354B"/>
    <w:rsid w:val="004B3FB6"/>
    <w:rsid w:val="004D0C0E"/>
    <w:rsid w:val="004F052C"/>
    <w:rsid w:val="00585BC5"/>
    <w:rsid w:val="005A6CB1"/>
    <w:rsid w:val="005B2139"/>
    <w:rsid w:val="005D5FFC"/>
    <w:rsid w:val="006A4384"/>
    <w:rsid w:val="006C0FA3"/>
    <w:rsid w:val="00701FA1"/>
    <w:rsid w:val="00721866"/>
    <w:rsid w:val="00763329"/>
    <w:rsid w:val="007B39B1"/>
    <w:rsid w:val="007C68AD"/>
    <w:rsid w:val="007D3F72"/>
    <w:rsid w:val="007E4525"/>
    <w:rsid w:val="00813B0C"/>
    <w:rsid w:val="00841F5F"/>
    <w:rsid w:val="0086668E"/>
    <w:rsid w:val="008A0416"/>
    <w:rsid w:val="008F0DA2"/>
    <w:rsid w:val="008F2BEE"/>
    <w:rsid w:val="009B1694"/>
    <w:rsid w:val="009D5C73"/>
    <w:rsid w:val="009E10F8"/>
    <w:rsid w:val="00A249D3"/>
    <w:rsid w:val="00A63762"/>
    <w:rsid w:val="00A76829"/>
    <w:rsid w:val="00A91EA0"/>
    <w:rsid w:val="00A929E3"/>
    <w:rsid w:val="00A9748F"/>
    <w:rsid w:val="00AB2DB4"/>
    <w:rsid w:val="00AC129A"/>
    <w:rsid w:val="00AC44FE"/>
    <w:rsid w:val="00B23E9A"/>
    <w:rsid w:val="00B3222D"/>
    <w:rsid w:val="00B35B5E"/>
    <w:rsid w:val="00B35D58"/>
    <w:rsid w:val="00B97186"/>
    <w:rsid w:val="00BD7D8C"/>
    <w:rsid w:val="00BE6484"/>
    <w:rsid w:val="00C8061E"/>
    <w:rsid w:val="00C94AAA"/>
    <w:rsid w:val="00CC173D"/>
    <w:rsid w:val="00D272CA"/>
    <w:rsid w:val="00D33E83"/>
    <w:rsid w:val="00D35C72"/>
    <w:rsid w:val="00D711AD"/>
    <w:rsid w:val="00DA18BF"/>
    <w:rsid w:val="00DE620D"/>
    <w:rsid w:val="00E02474"/>
    <w:rsid w:val="00E35CC6"/>
    <w:rsid w:val="00E361DB"/>
    <w:rsid w:val="00E36F9A"/>
    <w:rsid w:val="00E6229E"/>
    <w:rsid w:val="00E623E5"/>
    <w:rsid w:val="00E652D5"/>
    <w:rsid w:val="00E719AA"/>
    <w:rsid w:val="00E7475E"/>
    <w:rsid w:val="00EB3345"/>
    <w:rsid w:val="00EE0956"/>
    <w:rsid w:val="00EF5FCB"/>
    <w:rsid w:val="00F12321"/>
    <w:rsid w:val="00F23011"/>
    <w:rsid w:val="00F325F7"/>
    <w:rsid w:val="00F47B29"/>
    <w:rsid w:val="00F66D2C"/>
    <w:rsid w:val="00F73B23"/>
    <w:rsid w:val="00F90CC8"/>
    <w:rsid w:val="00FB5BEC"/>
    <w:rsid w:val="00FD0829"/>
    <w:rsid w:val="00FD1AEE"/>
    <w:rsid w:val="00FE03A1"/>
    <w:rsid w:val="00FE16E3"/>
  </w:rsids>
  <m:mathPr>
    <m:mathFont m:val="Cambria Math"/>
    <m:brkBin m:val="before"/>
    <m:brkBinSub m:val="--"/>
    <m:smallFrac m:val="0"/>
    <m:dispDef/>
    <m:lMargin m:val="0"/>
    <m:rMargin m:val="0"/>
    <m:defJc m:val="centerGroup"/>
    <m:wrapIndent m:val="1440"/>
    <m:intLim m:val="subSup"/>
    <m:naryLim m:val="undOvr"/>
  </m:mathPr>
  <w:themeFontLang w:val="en-IL"/>
  <w:clrSchemeMapping w:bg1="light1" w:t1="dark1" w:bg2="light2" w:t2="dark2" w:accent1="accent1" w:accent2="accent2" w:accent3="accent3" w:accent4="accent4" w:accent5="accent5" w:accent6="accent6" w:hyperlink="hyperlink" w:followedHyperlink="followedHyperlink"/>
  <w:decimalSymbol w:val="."/>
  <w:listSeparator w:val=","/>
  <w14:docId w14:val="31453F53"/>
  <w15:chartTrackingRefBased/>
  <w15:docId w15:val="{FDC19A7F-315F-0547-8A07-BB137ED7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2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2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2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2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2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2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2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2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2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2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2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2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2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2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2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22D"/>
    <w:rPr>
      <w:rFonts w:eastAsiaTheme="majorEastAsia" w:cstheme="majorBidi"/>
      <w:color w:val="272727" w:themeColor="text1" w:themeTint="D8"/>
    </w:rPr>
  </w:style>
  <w:style w:type="paragraph" w:styleId="Title">
    <w:name w:val="Title"/>
    <w:basedOn w:val="Normal"/>
    <w:next w:val="Normal"/>
    <w:link w:val="TitleChar"/>
    <w:uiPriority w:val="10"/>
    <w:qFormat/>
    <w:rsid w:val="00B32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2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2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2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22D"/>
    <w:pPr>
      <w:spacing w:before="160"/>
      <w:jc w:val="center"/>
    </w:pPr>
    <w:rPr>
      <w:i/>
      <w:iCs/>
      <w:color w:val="404040" w:themeColor="text1" w:themeTint="BF"/>
    </w:rPr>
  </w:style>
  <w:style w:type="character" w:customStyle="1" w:styleId="QuoteChar">
    <w:name w:val="Quote Char"/>
    <w:basedOn w:val="DefaultParagraphFont"/>
    <w:link w:val="Quote"/>
    <w:uiPriority w:val="29"/>
    <w:rsid w:val="00B3222D"/>
    <w:rPr>
      <w:i/>
      <w:iCs/>
      <w:color w:val="404040" w:themeColor="text1" w:themeTint="BF"/>
    </w:rPr>
  </w:style>
  <w:style w:type="paragraph" w:styleId="ListParagraph">
    <w:name w:val="List Paragraph"/>
    <w:basedOn w:val="Normal"/>
    <w:uiPriority w:val="34"/>
    <w:qFormat/>
    <w:rsid w:val="00B3222D"/>
    <w:pPr>
      <w:ind w:left="720"/>
      <w:contextualSpacing/>
    </w:pPr>
  </w:style>
  <w:style w:type="character" w:styleId="IntenseEmphasis">
    <w:name w:val="Intense Emphasis"/>
    <w:basedOn w:val="DefaultParagraphFont"/>
    <w:uiPriority w:val="21"/>
    <w:qFormat/>
    <w:rsid w:val="00B3222D"/>
    <w:rPr>
      <w:i/>
      <w:iCs/>
      <w:color w:val="0F4761" w:themeColor="accent1" w:themeShade="BF"/>
    </w:rPr>
  </w:style>
  <w:style w:type="paragraph" w:styleId="IntenseQuote">
    <w:name w:val="Intense Quote"/>
    <w:basedOn w:val="Normal"/>
    <w:next w:val="Normal"/>
    <w:link w:val="IntenseQuoteChar"/>
    <w:uiPriority w:val="30"/>
    <w:qFormat/>
    <w:rsid w:val="00B32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22D"/>
    <w:rPr>
      <w:i/>
      <w:iCs/>
      <w:color w:val="0F4761" w:themeColor="accent1" w:themeShade="BF"/>
    </w:rPr>
  </w:style>
  <w:style w:type="character" w:styleId="IntenseReference">
    <w:name w:val="Intense Reference"/>
    <w:basedOn w:val="DefaultParagraphFont"/>
    <w:uiPriority w:val="32"/>
    <w:qFormat/>
    <w:rsid w:val="00B3222D"/>
    <w:rPr>
      <w:b/>
      <w:bCs/>
      <w:smallCaps/>
      <w:color w:val="0F4761" w:themeColor="accent1" w:themeShade="BF"/>
      <w:spacing w:val="5"/>
    </w:rPr>
  </w:style>
  <w:style w:type="paragraph" w:customStyle="1" w:styleId="p2">
    <w:name w:val="p2"/>
    <w:basedOn w:val="Normal"/>
    <w:rsid w:val="00D272CA"/>
    <w:pPr>
      <w:spacing w:before="100" w:beforeAutospacing="1" w:after="100" w:afterAutospacing="1" w:line="240" w:lineRule="auto"/>
    </w:pPr>
    <w:rPr>
      <w:rFonts w:ascii="Times New Roman" w:hAnsi="Times New Roman" w:cs="Times New Roman"/>
      <w:kern w:val="0"/>
      <w14:ligatures w14:val="none"/>
    </w:rPr>
  </w:style>
  <w:style w:type="paragraph" w:customStyle="1" w:styleId="p1">
    <w:name w:val="p1"/>
    <w:basedOn w:val="Normal"/>
    <w:rsid w:val="009B1694"/>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FD1A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AEE"/>
  </w:style>
  <w:style w:type="paragraph" w:styleId="Footer">
    <w:name w:val="footer"/>
    <w:basedOn w:val="Normal"/>
    <w:link w:val="FooterChar"/>
    <w:uiPriority w:val="99"/>
    <w:unhideWhenUsed/>
    <w:rsid w:val="00FD1A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AEE"/>
  </w:style>
  <w:style w:type="character" w:styleId="PageNumber">
    <w:name w:val="page number"/>
    <w:basedOn w:val="DefaultParagraphFont"/>
    <w:uiPriority w:val="99"/>
    <w:semiHidden/>
    <w:unhideWhenUsed/>
    <w:rsid w:val="00FD1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1921</Characters>
  <Application>Microsoft Office Word</Application>
  <DocSecurity>0</DocSecurity>
  <Lines>16</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Dania Dasouqi</dc:creator>
  <cp:keywords/>
  <dc:description/>
  <cp:lastModifiedBy>Dania Dasouqi</cp:lastModifiedBy>
  <cp:revision>2</cp:revision>
  <dcterms:created xsi:type="dcterms:W3CDTF">2026-08-26T16:59:00Z</dcterms:created>
  <dcterms:modified xsi:type="dcterms:W3CDTF">2026-08-26T16:59:00Z</dcterms:modified>
</cp:coreProperties>
</file>