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2B4129" w14:textId="7DC2F0AF" w:rsidR="0065624E" w:rsidRDefault="0065624E" w:rsidP="00B22053">
      <w:pPr>
        <w:pStyle w:val="isselectedend"/>
        <w:jc w:val="both"/>
      </w:pPr>
      <w:r>
        <w:rPr>
          <w:rStyle w:val="Fuerte"/>
        </w:rPr>
        <w:t>Declaración de la Asociación para Políticas Públicas (APP)</w:t>
      </w:r>
      <w:r w:rsidR="00B22053">
        <w:rPr>
          <w:rStyle w:val="Fuerte"/>
        </w:rPr>
        <w:t xml:space="preserve"> Control </w:t>
      </w:r>
      <w:proofErr w:type="spellStart"/>
      <w:r w:rsidR="00B22053">
        <w:rPr>
          <w:rStyle w:val="Fuerte"/>
        </w:rPr>
        <w:t>arms</w:t>
      </w:r>
      <w:proofErr w:type="spellEnd"/>
      <w:r w:rsidR="00B22053">
        <w:rPr>
          <w:rStyle w:val="Fuerte"/>
        </w:rPr>
        <w:t xml:space="preserve"> </w:t>
      </w:r>
      <w:proofErr w:type="spellStart"/>
      <w:r w:rsidR="00B22053">
        <w:rPr>
          <w:rStyle w:val="Fuerte"/>
        </w:rPr>
        <w:t>member</w:t>
      </w:r>
      <w:proofErr w:type="spellEnd"/>
      <w:r w:rsidR="00B22053">
        <w:rPr>
          <w:rStyle w:val="Fuerte"/>
        </w:rPr>
        <w:t xml:space="preserve"> </w:t>
      </w:r>
      <w:r>
        <w:br/>
      </w:r>
      <w:r>
        <w:rPr>
          <w:rStyle w:val="Fuerte"/>
        </w:rPr>
        <w:t>Conferencia de los Estados Partes del Tratado sobre el Comercio de Armas (CSP12)</w:t>
      </w:r>
    </w:p>
    <w:p w14:paraId="486FB150" w14:textId="182729A3" w:rsidR="0065624E" w:rsidRDefault="0065624E" w:rsidP="00B22053">
      <w:pPr>
        <w:pStyle w:val="isselectedend"/>
        <w:jc w:val="both"/>
      </w:pPr>
      <w:r>
        <w:t>Señor</w:t>
      </w:r>
      <w:r w:rsidR="00B22053">
        <w:t xml:space="preserve">a </w:t>
      </w:r>
      <w:r>
        <w:t>President</w:t>
      </w:r>
      <w:r w:rsidR="00B22053">
        <w:t xml:space="preserve">a, </w:t>
      </w:r>
      <w:r>
        <w:t xml:space="preserve"> distinguidos delegados y colegas:</w:t>
      </w:r>
    </w:p>
    <w:p w14:paraId="7FF227B8" w14:textId="77777777" w:rsidR="0065624E" w:rsidRDefault="0065624E" w:rsidP="00B22053">
      <w:pPr>
        <w:pStyle w:val="isselectedend"/>
        <w:jc w:val="both"/>
      </w:pPr>
      <w:r>
        <w:t>La Asociación para Políticas Públicas (APP) trabaja desde hace más de 20 años en temas de control de armas, prevención de la violencia armada y género.</w:t>
      </w:r>
    </w:p>
    <w:p w14:paraId="07EABFFF" w14:textId="77777777" w:rsidR="0065624E" w:rsidRDefault="0065624E" w:rsidP="00B22053">
      <w:pPr>
        <w:pStyle w:val="isselectedend"/>
        <w:jc w:val="both"/>
      </w:pPr>
      <w:r>
        <w:t xml:space="preserve">En este marco, el control de las municiones ha sido durante mucho tiempo una cuestión pendiente dentro de la agenda internacional de control de armas. Desde los primeros debates de la década de 2000 hasta la adopción, en diciembre de 2023, del </w:t>
      </w:r>
      <w:r>
        <w:rPr>
          <w:rStyle w:val="Fuerte"/>
        </w:rPr>
        <w:t>Marco Global para la Gestión de Municiones durante todo su ciclo de vida</w:t>
      </w:r>
      <w:r>
        <w:t xml:space="preserve"> por la Asamblea General de las Naciones Unidas, se ha producido una evolución significativa.</w:t>
      </w:r>
    </w:p>
    <w:p w14:paraId="53D460BE" w14:textId="77777777" w:rsidR="0065624E" w:rsidRDefault="0065624E" w:rsidP="00B22053">
      <w:pPr>
        <w:pStyle w:val="isselectedend"/>
        <w:jc w:val="both"/>
      </w:pPr>
      <w:r>
        <w:t xml:space="preserve">Uno de los antecedentes fundamentales de este proceso fue el </w:t>
      </w:r>
      <w:r>
        <w:rPr>
          <w:rStyle w:val="Fuerte"/>
        </w:rPr>
        <w:t>Tratado sobre el Comercio de Armas (TCA)</w:t>
      </w:r>
      <w:r>
        <w:t>.</w:t>
      </w:r>
    </w:p>
    <w:p w14:paraId="15904154" w14:textId="77777777" w:rsidR="0065624E" w:rsidRDefault="0065624E" w:rsidP="00B22053">
      <w:pPr>
        <w:pStyle w:val="isselectedend"/>
        <w:jc w:val="both"/>
      </w:pPr>
      <w:r>
        <w:t>Los días 6 y 7 de agosto, APP organizó un taller de trabajo en Puerto Iguazú, en la triple frontera entre Argentina, Brasil y Paraguay, con la participación de países del MERCOSUR y Chile y el apoyo de UNSCAR. La realidad del tráfico transfronterizo plantea desafíos adicionales para la implementación efectiva de los instrumentos de control de armas y municiones.</w:t>
      </w:r>
    </w:p>
    <w:p w14:paraId="5A26E0FF" w14:textId="1CCCED5A" w:rsidR="0065624E" w:rsidRDefault="0065624E" w:rsidP="00B22053">
      <w:pPr>
        <w:pStyle w:val="isselectedend"/>
        <w:jc w:val="both"/>
      </w:pPr>
      <w:r>
        <w:t>Nuestra región combina países con una importante capacidad de producción de municiones, productores de escala media e importadores. En nuestras discusiones surgieron, entre otras, dos necesidades concretas: fortalecer el intercambio de información en tiempo real, tanto entre países como entre las distintas agencias dentro de cada Estado, y avanzar hacia sistemas de marcación más estandarizados que permitan mejorar el rastreo e identificar con mayor precisión los puntos de desvío</w:t>
      </w:r>
    </w:p>
    <w:p w14:paraId="20927A4B" w14:textId="77777777" w:rsidR="0065624E" w:rsidRDefault="0065624E" w:rsidP="00B22053">
      <w:pPr>
        <w:pStyle w:val="isselectedend"/>
        <w:jc w:val="both"/>
      </w:pPr>
      <w:r>
        <w:t xml:space="preserve">En este contexto, consideramos que el </w:t>
      </w:r>
      <w:r>
        <w:rPr>
          <w:rStyle w:val="Fuerte"/>
        </w:rPr>
        <w:t>TCA y el Marco Global no deberían implementarse como agendas independientes</w:t>
      </w:r>
      <w:r>
        <w:t>. Por el contrario, pueden reforzarse mutuamente, especialmente para reducir la brecha que todavía existe entre el control de las transferencias de armas y la gestión de las municiones, y para traducir la prevención del desvío en controles prácticos a nivel nacional que abarquen todo el ciclo de vida de las municiones.</w:t>
      </w:r>
    </w:p>
    <w:p w14:paraId="2E6A590D" w14:textId="433045E8" w:rsidR="0065624E" w:rsidRDefault="0065624E" w:rsidP="00B22053">
      <w:pPr>
        <w:pStyle w:val="isselectedend"/>
        <w:jc w:val="both"/>
      </w:pPr>
      <w:r>
        <w:t>El TCA establece un marco fundamental para las transferencias internacionales responsables de armas convencionales. El Marco Global complementa esta arquitectura al abordar las municiones convencionales a lo largo de todo su ciclo de vida: desde la producción y las etapas previas a la transferencia, pasando por la transferencia y la gestión de existencias, hasta su recuperación, uso, como excedente y eliminación.</w:t>
      </w:r>
    </w:p>
    <w:p w14:paraId="40E71E57" w14:textId="77777777" w:rsidR="0065624E" w:rsidRDefault="0065624E" w:rsidP="00B22053">
      <w:pPr>
        <w:pStyle w:val="isselectedend"/>
        <w:jc w:val="both"/>
      </w:pPr>
      <w:r>
        <w:t>Esta complementariedad es particularmente relevante para abordar los riesgos de desvío. El desvío de municiones no puede prevenirse eficazmente únicamente en el momento en que se concede una licencia de exportación. Los riesgos pueden surgir en distintos puntos de la cadena de suministro y a lo largo de todo el ciclo de vida de las municiones.</w:t>
      </w:r>
    </w:p>
    <w:p w14:paraId="7D83C88B" w14:textId="77777777" w:rsidR="0065624E" w:rsidRDefault="0065624E" w:rsidP="00B22053">
      <w:pPr>
        <w:pStyle w:val="isselectedend"/>
        <w:jc w:val="both"/>
      </w:pPr>
      <w:r>
        <w:lastRenderedPageBreak/>
        <w:t>Por ello, una prevención efectiva requiere controles adecuados antes, durante y después de la transferencia, así como sistemas sólidos de almacenamiento, gestión de existencias, documentación, recuperación y eliminación.</w:t>
      </w:r>
    </w:p>
    <w:p w14:paraId="43B16DA3" w14:textId="77777777" w:rsidR="0065624E" w:rsidRDefault="0065624E" w:rsidP="00B22053">
      <w:pPr>
        <w:pStyle w:val="isselectedend"/>
        <w:jc w:val="both"/>
      </w:pPr>
      <w:r>
        <w:t>El Marco Global ofrece a los Estados herramientas prácticas para fortalecer estas capacidades, incluyendo la transparencia de la cadena de suministro, la documentación relativa a los usuarios finales, la marcación y el rastreo, el intercambio de información sobre municiones desviadas y sistemas nacionales más sólidos para la gestión de inventarios y el mantenimiento de registros.</w:t>
      </w:r>
    </w:p>
    <w:p w14:paraId="08C7EAB3" w14:textId="77777777" w:rsidR="0065624E" w:rsidRDefault="0065624E" w:rsidP="00B22053">
      <w:pPr>
        <w:pStyle w:val="isselectedend"/>
        <w:jc w:val="both"/>
      </w:pPr>
      <w:r>
        <w:t>Esta complementariedad también tiene una importante dimensión de género, dado que la disponibilidad y el desvío de armas y municiones pueden contribuir a profundizar los riesgos de violencia armada y sus impactos diferenciados.</w:t>
      </w:r>
    </w:p>
    <w:p w14:paraId="78837864" w14:textId="77777777" w:rsidR="0065624E" w:rsidRDefault="0065624E" w:rsidP="00B22053">
      <w:pPr>
        <w:pStyle w:val="isselectedend"/>
        <w:jc w:val="both"/>
      </w:pPr>
      <w:r>
        <w:t>Señor Presidente:</w:t>
      </w:r>
    </w:p>
    <w:p w14:paraId="66AE8A57" w14:textId="54415934" w:rsidR="0065624E" w:rsidRDefault="0065624E" w:rsidP="00B22053">
      <w:pPr>
        <w:pStyle w:val="isselectedend"/>
        <w:jc w:val="both"/>
      </w:pPr>
      <w:r>
        <w:t>Por estas razones, alentamos a los Estados Partes a considerar</w:t>
      </w:r>
      <w:r w:rsidR="00B22053">
        <w:t xml:space="preserve">: </w:t>
      </w:r>
    </w:p>
    <w:p w14:paraId="50FE08BE" w14:textId="04DCF06B" w:rsidR="0065624E" w:rsidRDefault="0065624E" w:rsidP="00B22053">
      <w:pPr>
        <w:pStyle w:val="isselectedend"/>
        <w:jc w:val="both"/>
      </w:pPr>
      <w:r>
        <w:rPr>
          <w:rStyle w:val="Fuerte"/>
        </w:rPr>
        <w:t>En primer lugar</w:t>
      </w:r>
      <w:r>
        <w:t xml:space="preserve">, al revisar y fortalecer sus sistemas nacionales de control en el marco del TCA, deberían considerar </w:t>
      </w:r>
      <w:r w:rsidRPr="00B22053">
        <w:rPr>
          <w:b/>
          <w:bCs/>
        </w:rPr>
        <w:t xml:space="preserve">cómo </w:t>
      </w:r>
      <w:r>
        <w:t>los objetivos, herramientas y medidas de apoyo del Marco Global pueden contribuir a fortalecer los controles sobre las municiones convencionales, particularmente en materia de prevención del desvío y gestión de la cadena de suministro posterior a la transferencia.</w:t>
      </w:r>
    </w:p>
    <w:p w14:paraId="3CA23265" w14:textId="77777777" w:rsidR="0065624E" w:rsidRDefault="0065624E" w:rsidP="00B22053">
      <w:pPr>
        <w:pStyle w:val="isselectedend"/>
        <w:jc w:val="both"/>
      </w:pPr>
      <w:r>
        <w:rPr>
          <w:rStyle w:val="Fuerte"/>
        </w:rPr>
        <w:t>En segundo lugar</w:t>
      </w:r>
      <w:r>
        <w:t>, la comunidad del TCA y la comunidad que implementa el Marco Global deberían ampliar las oportunidades de intercambio de información y cooperación práctica. Los Estados no deberían verse obligados a desarrollar sistemas paralelos para instrumentos que, en muchos casos, abordan riesgos estrechamente interconectados.</w:t>
      </w:r>
    </w:p>
    <w:p w14:paraId="35743092" w14:textId="77777777" w:rsidR="0065624E" w:rsidRDefault="0065624E" w:rsidP="00B22053">
      <w:pPr>
        <w:pStyle w:val="isselectedend"/>
        <w:jc w:val="both"/>
      </w:pPr>
      <w:r>
        <w:rPr>
          <w:rStyle w:val="Fuerte"/>
        </w:rPr>
        <w:t>En tercer lugar</w:t>
      </w:r>
      <w:r>
        <w:t>, alentamos a los Estados Partes a utilizar los mecanismos existentes del TCA para explorar estas complementariedades.</w:t>
      </w:r>
    </w:p>
    <w:p w14:paraId="45782FC0" w14:textId="641D7610" w:rsidR="0065624E" w:rsidRDefault="0065624E" w:rsidP="00B22053">
      <w:pPr>
        <w:pStyle w:val="isselectedend"/>
        <w:jc w:val="both"/>
      </w:pPr>
      <w:r>
        <w:t xml:space="preserve">En particular, recomendamos que el </w:t>
      </w:r>
      <w:r>
        <w:rPr>
          <w:rStyle w:val="Fuerte"/>
        </w:rPr>
        <w:t>Grupo de Trabajo sobre  Implementación Efectiva del Tratado</w:t>
      </w:r>
      <w:r>
        <w:t xml:space="preserve"> considere examinar las sinergias entre el TCA y el Marco Global, con el objetivo de identificar buenas prácticas y medidas concretas que los Estados puedan incorporar a sus sistemas nacionales de control.</w:t>
      </w:r>
    </w:p>
    <w:p w14:paraId="2ECCA301" w14:textId="77777777" w:rsidR="0065624E" w:rsidRDefault="0065624E" w:rsidP="00B22053">
      <w:pPr>
        <w:pStyle w:val="isselectedend"/>
        <w:jc w:val="both"/>
      </w:pPr>
      <w:r>
        <w:t xml:space="preserve">Este intercambio permitiría abordar una cuestión fundamental: </w:t>
      </w:r>
      <w:r>
        <w:rPr>
          <w:rStyle w:val="Fuerte"/>
        </w:rPr>
        <w:t>asegurar que el control de una transferencia no termine en el momento de la entrega, sino que forme parte de un sistema integral de gestión, seguridad, trazabilidad y prevención del desvío de las municiones durante todo su ciclo de vida.</w:t>
      </w:r>
    </w:p>
    <w:p w14:paraId="7B96376C" w14:textId="77777777" w:rsidR="0065624E" w:rsidRDefault="0065624E" w:rsidP="00B22053">
      <w:pPr>
        <w:pStyle w:val="NormalWeb"/>
        <w:jc w:val="both"/>
      </w:pPr>
      <w:r>
        <w:t>Muchas gracias.</w:t>
      </w:r>
    </w:p>
    <w:p w14:paraId="4F99EF13" w14:textId="77777777" w:rsidR="003B4AC1" w:rsidRPr="001B6F0E" w:rsidRDefault="003B4AC1" w:rsidP="00B22053">
      <w:pPr>
        <w:jc w:val="both"/>
      </w:pPr>
    </w:p>
    <w:p w14:paraId="09A9C406" w14:textId="77777777" w:rsidR="001D1942" w:rsidRPr="001B6F0E" w:rsidRDefault="001D1942" w:rsidP="00B22053">
      <w:pPr>
        <w:jc w:val="both"/>
      </w:pPr>
    </w:p>
    <w:p w14:paraId="19BA8F80" w14:textId="77777777" w:rsidR="001D1942" w:rsidRPr="001B6F0E" w:rsidRDefault="001D1942" w:rsidP="00B22053">
      <w:pPr>
        <w:jc w:val="both"/>
      </w:pPr>
    </w:p>
    <w:p w14:paraId="558FDA92" w14:textId="77777777" w:rsidR="001D1942" w:rsidRPr="001B6F0E" w:rsidRDefault="001D1942" w:rsidP="00B22053">
      <w:pPr>
        <w:jc w:val="both"/>
      </w:pPr>
    </w:p>
    <w:p w14:paraId="294EA2C1" w14:textId="77777777" w:rsidR="001D1942" w:rsidRPr="001B6F0E" w:rsidRDefault="001D1942" w:rsidP="00B22053">
      <w:pPr>
        <w:jc w:val="both"/>
      </w:pPr>
    </w:p>
    <w:p w14:paraId="72D46B75" w14:textId="72836100" w:rsidR="005D63B3" w:rsidRDefault="005D63B3" w:rsidP="00B22053">
      <w:pPr>
        <w:jc w:val="both"/>
      </w:pPr>
    </w:p>
    <w:sectPr w:rsidR="005D63B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942"/>
    <w:rsid w:val="00064EFF"/>
    <w:rsid w:val="000A2CCE"/>
    <w:rsid w:val="001B6F0E"/>
    <w:rsid w:val="001D1942"/>
    <w:rsid w:val="00216761"/>
    <w:rsid w:val="00300032"/>
    <w:rsid w:val="003561AA"/>
    <w:rsid w:val="003B4AC1"/>
    <w:rsid w:val="005D63B3"/>
    <w:rsid w:val="0065624E"/>
    <w:rsid w:val="0068772E"/>
    <w:rsid w:val="006A2F39"/>
    <w:rsid w:val="007669E4"/>
    <w:rsid w:val="00781FEE"/>
    <w:rsid w:val="00805545"/>
    <w:rsid w:val="00842A77"/>
    <w:rsid w:val="00AA140A"/>
    <w:rsid w:val="00B15E86"/>
    <w:rsid w:val="00B22053"/>
    <w:rsid w:val="00B676FD"/>
    <w:rsid w:val="00CF3043"/>
    <w:rsid w:val="00D53174"/>
    <w:rsid w:val="00D8352B"/>
    <w:rsid w:val="00EA74E7"/>
    <w:rsid w:val="00EF2BD1"/>
    <w:rsid w:val="00F9036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29B35D2E"/>
  <w15:chartTrackingRefBased/>
  <w15:docId w15:val="{A583CB62-AA5E-9249-BB44-CC80A0C22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D19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D19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D194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D194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D194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D194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D194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D194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D194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D194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D194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D194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D194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D194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D194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D194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D194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D1942"/>
    <w:rPr>
      <w:rFonts w:eastAsiaTheme="majorEastAsia" w:cstheme="majorBidi"/>
      <w:color w:val="272727" w:themeColor="text1" w:themeTint="D8"/>
    </w:rPr>
  </w:style>
  <w:style w:type="paragraph" w:styleId="Ttulo">
    <w:name w:val="Title"/>
    <w:basedOn w:val="Normal"/>
    <w:next w:val="Normal"/>
    <w:link w:val="TtuloCar"/>
    <w:uiPriority w:val="10"/>
    <w:qFormat/>
    <w:rsid w:val="001D19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D194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D194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D194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D1942"/>
    <w:pPr>
      <w:spacing w:before="160"/>
      <w:jc w:val="center"/>
    </w:pPr>
    <w:rPr>
      <w:i/>
      <w:iCs/>
      <w:color w:val="404040" w:themeColor="text1" w:themeTint="BF"/>
    </w:rPr>
  </w:style>
  <w:style w:type="character" w:customStyle="1" w:styleId="CitaCar">
    <w:name w:val="Cita Car"/>
    <w:basedOn w:val="Fuentedeprrafopredeter"/>
    <w:link w:val="Cita"/>
    <w:uiPriority w:val="29"/>
    <w:rsid w:val="001D1942"/>
    <w:rPr>
      <w:i/>
      <w:iCs/>
      <w:color w:val="404040" w:themeColor="text1" w:themeTint="BF"/>
    </w:rPr>
  </w:style>
  <w:style w:type="paragraph" w:styleId="Prrafodelista">
    <w:name w:val="List Paragraph"/>
    <w:basedOn w:val="Normal"/>
    <w:uiPriority w:val="34"/>
    <w:qFormat/>
    <w:rsid w:val="001D1942"/>
    <w:pPr>
      <w:ind w:left="720"/>
      <w:contextualSpacing/>
    </w:pPr>
  </w:style>
  <w:style w:type="character" w:styleId="nfasisintenso">
    <w:name w:val="Intense Emphasis"/>
    <w:basedOn w:val="Fuentedeprrafopredeter"/>
    <w:uiPriority w:val="21"/>
    <w:qFormat/>
    <w:rsid w:val="001D1942"/>
    <w:rPr>
      <w:i/>
      <w:iCs/>
      <w:color w:val="0F4761" w:themeColor="accent1" w:themeShade="BF"/>
    </w:rPr>
  </w:style>
  <w:style w:type="paragraph" w:styleId="Citadestacada">
    <w:name w:val="Intense Quote"/>
    <w:basedOn w:val="Normal"/>
    <w:next w:val="Normal"/>
    <w:link w:val="CitadestacadaCar"/>
    <w:uiPriority w:val="30"/>
    <w:qFormat/>
    <w:rsid w:val="001D19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D1942"/>
    <w:rPr>
      <w:i/>
      <w:iCs/>
      <w:color w:val="0F4761" w:themeColor="accent1" w:themeShade="BF"/>
    </w:rPr>
  </w:style>
  <w:style w:type="character" w:styleId="Referenciaintensa">
    <w:name w:val="Intense Reference"/>
    <w:basedOn w:val="Fuentedeprrafopredeter"/>
    <w:uiPriority w:val="32"/>
    <w:qFormat/>
    <w:rsid w:val="001D1942"/>
    <w:rPr>
      <w:b/>
      <w:bCs/>
      <w:smallCaps/>
      <w:color w:val="0F4761" w:themeColor="accent1" w:themeShade="BF"/>
      <w:spacing w:val="5"/>
    </w:rPr>
  </w:style>
  <w:style w:type="paragraph" w:customStyle="1" w:styleId="pdq2pgselectionanchorcontainer">
    <w:name w:val="pdq2pg_selectionanchorcontainer"/>
    <w:basedOn w:val="Normal"/>
    <w:rsid w:val="001B6F0E"/>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paragraph" w:styleId="NormalWeb">
    <w:name w:val="Normal (Web)"/>
    <w:basedOn w:val="Normal"/>
    <w:uiPriority w:val="99"/>
    <w:semiHidden/>
    <w:unhideWhenUsed/>
    <w:rsid w:val="001B6F0E"/>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Fuerte">
    <w:name w:val="Strong"/>
    <w:basedOn w:val="Fuentedeprrafopredeter"/>
    <w:uiPriority w:val="22"/>
    <w:qFormat/>
    <w:rsid w:val="001B6F0E"/>
    <w:rPr>
      <w:b/>
      <w:bCs/>
    </w:rPr>
  </w:style>
  <w:style w:type="paragraph" w:customStyle="1" w:styleId="isselectedend">
    <w:name w:val="isselectedend"/>
    <w:basedOn w:val="Normal"/>
    <w:rsid w:val="0065624E"/>
    <w:pPr>
      <w:spacing w:before="100" w:beforeAutospacing="1" w:after="100" w:afterAutospacing="1" w:line="240" w:lineRule="auto"/>
    </w:pPr>
    <w:rPr>
      <w:rFonts w:ascii="Times New Roman" w:eastAsia="Times New Roman" w:hAnsi="Times New Roman" w:cs="Times New Roman"/>
      <w:kern w:val="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818</Words>
  <Characters>4500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pia devoto</dc:creator>
  <cp:keywords/>
  <dc:description/>
  <cp:lastModifiedBy>maria pia devoto</cp:lastModifiedBy>
  <cp:revision>4</cp:revision>
  <dcterms:created xsi:type="dcterms:W3CDTF">2026-08-23T17:52:00Z</dcterms:created>
  <dcterms:modified xsi:type="dcterms:W3CDTF">2026-08-24T20:15:00Z</dcterms:modified>
</cp:coreProperties>
</file>