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auto"/>
          <w:bottom w:val="single" w:sz="4" w:space="0" w:color="auto"/>
        </w:tblBorders>
        <w:tblLook w:val="04A0" w:firstRow="1" w:lastRow="0" w:firstColumn="1" w:lastColumn="0" w:noHBand="0" w:noVBand="1"/>
      </w:tblPr>
      <w:tblGrid>
        <w:gridCol w:w="3174"/>
        <w:gridCol w:w="5852"/>
      </w:tblGrid>
      <w:tr w:rsidR="00C8772E" w:rsidRPr="00492BEE" w14:paraId="54E4220D" w14:textId="77777777" w:rsidTr="00CF094F">
        <w:trPr>
          <w:trHeight w:val="2943"/>
        </w:trPr>
        <w:tc>
          <w:tcPr>
            <w:tcW w:w="3204" w:type="dxa"/>
          </w:tcPr>
          <w:p w14:paraId="0D9E5B3A" w14:textId="77777777" w:rsidR="00C8772E" w:rsidRDefault="00C8772E" w:rsidP="00CF094F">
            <w:pPr>
              <w:jc w:val="both"/>
              <w:rPr>
                <w:b/>
                <w:color w:val="000000"/>
                <w:sz w:val="32"/>
                <w:szCs w:val="32"/>
              </w:rPr>
            </w:pPr>
            <w:r>
              <w:rPr>
                <w:noProof/>
                <w:sz w:val="28"/>
                <w:szCs w:val="28"/>
                <w:lang w:eastAsia="en-NZ"/>
              </w:rPr>
              <w:drawing>
                <wp:inline distT="0" distB="0" distL="0" distR="0" wp14:anchorId="5313FBC6" wp14:editId="40AEC45B">
                  <wp:extent cx="1266825" cy="1196446"/>
                  <wp:effectExtent l="0" t="0" r="0" b="3810"/>
                  <wp:docPr id="203178568" name="Picture 20317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r="9653" b="10526"/>
                          <a:stretch/>
                        </pic:blipFill>
                        <pic:spPr bwMode="auto">
                          <a:xfrm>
                            <a:off x="0" y="0"/>
                            <a:ext cx="1267203" cy="11968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1" w:type="dxa"/>
          </w:tcPr>
          <w:p w14:paraId="0F1E86E2" w14:textId="77777777" w:rsidR="00C8772E" w:rsidRPr="0000505C" w:rsidRDefault="00C8772E" w:rsidP="00CF094F">
            <w:pPr>
              <w:tabs>
                <w:tab w:val="left" w:pos="720"/>
              </w:tabs>
              <w:jc w:val="right"/>
              <w:rPr>
                <w:b/>
                <w:sz w:val="24"/>
              </w:rPr>
            </w:pPr>
          </w:p>
          <w:p w14:paraId="2129322B" w14:textId="77777777" w:rsidR="00C8772E" w:rsidRPr="0000505C" w:rsidRDefault="00C8772E" w:rsidP="00CF094F">
            <w:pPr>
              <w:jc w:val="right"/>
              <w:rPr>
                <w:b/>
                <w:color w:val="000000"/>
                <w:sz w:val="24"/>
              </w:rPr>
            </w:pPr>
            <w:r>
              <w:rPr>
                <w:b/>
                <w:color w:val="000000"/>
                <w:sz w:val="24"/>
              </w:rPr>
              <w:t>Twelfth</w:t>
            </w:r>
            <w:r w:rsidRPr="0000505C">
              <w:rPr>
                <w:b/>
                <w:color w:val="000000"/>
                <w:sz w:val="24"/>
              </w:rPr>
              <w:t xml:space="preserve"> Conference of States Parties to the Arms Trade Treaty</w:t>
            </w:r>
          </w:p>
          <w:p w14:paraId="44765996" w14:textId="77777777" w:rsidR="00C8772E" w:rsidRPr="0000505C" w:rsidRDefault="00C8772E" w:rsidP="00CF094F">
            <w:pPr>
              <w:jc w:val="right"/>
              <w:rPr>
                <w:b/>
                <w:color w:val="000000"/>
                <w:sz w:val="24"/>
              </w:rPr>
            </w:pPr>
          </w:p>
          <w:p w14:paraId="0B57B1A7" w14:textId="77777777" w:rsidR="00C8772E" w:rsidRPr="00945FAF" w:rsidRDefault="00C8772E" w:rsidP="00CF094F">
            <w:pPr>
              <w:jc w:val="right"/>
              <w:rPr>
                <w:b/>
                <w:color w:val="000000"/>
                <w:sz w:val="24"/>
              </w:rPr>
            </w:pPr>
            <w:r>
              <w:rPr>
                <w:b/>
                <w:color w:val="000000"/>
                <w:sz w:val="24"/>
              </w:rPr>
              <w:t>Treaty Implementation</w:t>
            </w:r>
          </w:p>
          <w:p w14:paraId="3E470532" w14:textId="77777777" w:rsidR="00C8772E" w:rsidRPr="0000505C" w:rsidRDefault="00C8772E" w:rsidP="00CF094F">
            <w:pPr>
              <w:tabs>
                <w:tab w:val="left" w:pos="720"/>
              </w:tabs>
              <w:jc w:val="right"/>
              <w:rPr>
                <w:b/>
                <w:sz w:val="24"/>
              </w:rPr>
            </w:pPr>
            <w:r w:rsidRPr="002B477D">
              <w:rPr>
                <w:b/>
                <w:sz w:val="24"/>
              </w:rPr>
              <w:t>25</w:t>
            </w:r>
            <w:r w:rsidRPr="00945FAF">
              <w:rPr>
                <w:b/>
                <w:sz w:val="24"/>
              </w:rPr>
              <w:t xml:space="preserve"> August 202</w:t>
            </w:r>
            <w:r>
              <w:rPr>
                <w:b/>
                <w:sz w:val="24"/>
              </w:rPr>
              <w:t>6</w:t>
            </w:r>
          </w:p>
          <w:p w14:paraId="459F2B7A" w14:textId="77777777" w:rsidR="00C8772E" w:rsidRPr="0000505C" w:rsidRDefault="00C8772E" w:rsidP="00CF094F">
            <w:pPr>
              <w:tabs>
                <w:tab w:val="left" w:pos="720"/>
              </w:tabs>
              <w:jc w:val="right"/>
              <w:rPr>
                <w:b/>
                <w:sz w:val="24"/>
              </w:rPr>
            </w:pPr>
          </w:p>
          <w:p w14:paraId="0653B8C5" w14:textId="77777777" w:rsidR="00C8772E" w:rsidRPr="00FF7516" w:rsidRDefault="00C8772E" w:rsidP="00CF094F">
            <w:pPr>
              <w:tabs>
                <w:tab w:val="left" w:pos="720"/>
              </w:tabs>
              <w:jc w:val="right"/>
              <w:rPr>
                <w:b/>
                <w:sz w:val="28"/>
                <w:szCs w:val="28"/>
              </w:rPr>
            </w:pPr>
            <w:r w:rsidRPr="0000505C">
              <w:rPr>
                <w:b/>
              </w:rPr>
              <w:t xml:space="preserve">Delivered by </w:t>
            </w:r>
            <w:r>
              <w:rPr>
                <w:b/>
              </w:rPr>
              <w:t>Angus Senior</w:t>
            </w:r>
            <w:r w:rsidRPr="0000505C">
              <w:rPr>
                <w:b/>
              </w:rPr>
              <w:t>, Deputy Permanent Representative to the Conference on Disarmament</w:t>
            </w:r>
          </w:p>
        </w:tc>
      </w:tr>
    </w:tbl>
    <w:p w14:paraId="4EFB274F" w14:textId="77777777" w:rsidR="00C8772E" w:rsidRDefault="00C8772E" w:rsidP="00C8772E">
      <w:pPr>
        <w:jc w:val="both"/>
      </w:pPr>
    </w:p>
    <w:p w14:paraId="141FF2B2" w14:textId="77777777" w:rsidR="00C8772E" w:rsidRDefault="00C8772E" w:rsidP="00C8772E">
      <w:pPr>
        <w:jc w:val="both"/>
        <w:rPr>
          <w:i/>
          <w:iCs/>
        </w:rPr>
      </w:pPr>
      <w:r w:rsidRPr="003038F9">
        <w:rPr>
          <w:i/>
          <w:iCs/>
        </w:rPr>
        <w:t xml:space="preserve">Time limit: </w:t>
      </w:r>
      <w:r>
        <w:rPr>
          <w:i/>
          <w:iCs/>
        </w:rPr>
        <w:t>2.5 minutes</w:t>
      </w:r>
    </w:p>
    <w:p w14:paraId="28AE46D8" w14:textId="77777777" w:rsidR="00C8772E" w:rsidRPr="00D625C7" w:rsidRDefault="00C8772E" w:rsidP="00C8772E">
      <w:pPr>
        <w:jc w:val="both"/>
        <w:rPr>
          <w:sz w:val="22"/>
          <w:szCs w:val="28"/>
        </w:rPr>
      </w:pPr>
    </w:p>
    <w:p w14:paraId="40E09E71" w14:textId="77777777" w:rsidR="00C8772E" w:rsidRDefault="00C8772E" w:rsidP="00C8772E">
      <w:pPr>
        <w:jc w:val="both"/>
        <w:rPr>
          <w:sz w:val="22"/>
          <w:szCs w:val="28"/>
        </w:rPr>
      </w:pPr>
      <w:r w:rsidRPr="00D625C7">
        <w:rPr>
          <w:sz w:val="22"/>
          <w:szCs w:val="28"/>
        </w:rPr>
        <w:t xml:space="preserve">Thank you, </w:t>
      </w:r>
      <w:r>
        <w:rPr>
          <w:sz w:val="22"/>
          <w:szCs w:val="28"/>
        </w:rPr>
        <w:t>President</w:t>
      </w:r>
      <w:r w:rsidRPr="00D625C7">
        <w:rPr>
          <w:sz w:val="22"/>
          <w:szCs w:val="28"/>
        </w:rPr>
        <w:t>.</w:t>
      </w:r>
    </w:p>
    <w:p w14:paraId="042B23F4" w14:textId="77777777" w:rsidR="00C8772E" w:rsidRPr="00D625C7" w:rsidRDefault="00C8772E" w:rsidP="00C8772E">
      <w:pPr>
        <w:jc w:val="both"/>
        <w:rPr>
          <w:sz w:val="22"/>
          <w:szCs w:val="28"/>
        </w:rPr>
      </w:pPr>
    </w:p>
    <w:p w14:paraId="060F0563" w14:textId="77777777" w:rsidR="00C8772E" w:rsidRDefault="00C8772E" w:rsidP="00C8772E">
      <w:pPr>
        <w:jc w:val="both"/>
        <w:rPr>
          <w:sz w:val="22"/>
          <w:szCs w:val="28"/>
        </w:rPr>
      </w:pPr>
      <w:r w:rsidRPr="009237D9">
        <w:rPr>
          <w:sz w:val="22"/>
          <w:szCs w:val="28"/>
        </w:rPr>
        <w:t xml:space="preserve">New Zealand thanks the Chair and Facilitators of this Working Group for their work and dedication this year. They have prepared a clear and comprehensive report for this Conference. </w:t>
      </w:r>
    </w:p>
    <w:p w14:paraId="094E4DDB" w14:textId="77777777" w:rsidR="00C8772E" w:rsidRPr="009237D9" w:rsidRDefault="00C8772E" w:rsidP="00C8772E">
      <w:pPr>
        <w:jc w:val="both"/>
        <w:rPr>
          <w:sz w:val="22"/>
          <w:szCs w:val="28"/>
        </w:rPr>
      </w:pPr>
      <w:r w:rsidRPr="009237D9">
        <w:rPr>
          <w:sz w:val="22"/>
          <w:szCs w:val="28"/>
        </w:rPr>
        <w:t xml:space="preserve">  </w:t>
      </w:r>
    </w:p>
    <w:p w14:paraId="1C0D8874" w14:textId="77777777" w:rsidR="00C8772E" w:rsidRDefault="00C8772E" w:rsidP="00C8772E">
      <w:pPr>
        <w:jc w:val="both"/>
        <w:rPr>
          <w:sz w:val="22"/>
          <w:szCs w:val="28"/>
        </w:rPr>
      </w:pPr>
      <w:r w:rsidRPr="00D625C7">
        <w:rPr>
          <w:sz w:val="22"/>
          <w:szCs w:val="28"/>
        </w:rPr>
        <w:t xml:space="preserve">New Zealand remains firmly committed to the effective implementation of the </w:t>
      </w:r>
      <w:r>
        <w:rPr>
          <w:sz w:val="22"/>
          <w:szCs w:val="28"/>
        </w:rPr>
        <w:t>ATT</w:t>
      </w:r>
      <w:r w:rsidRPr="00D625C7">
        <w:rPr>
          <w:sz w:val="22"/>
          <w:szCs w:val="28"/>
        </w:rPr>
        <w:t xml:space="preserve">. As we have noted previously, the Treaty's humanitarian and security objectives can only be realised through </w:t>
      </w:r>
      <w:r>
        <w:rPr>
          <w:sz w:val="22"/>
          <w:szCs w:val="28"/>
        </w:rPr>
        <w:t>our joint efforts in its full and effective</w:t>
      </w:r>
      <w:r w:rsidRPr="00D625C7">
        <w:rPr>
          <w:sz w:val="22"/>
          <w:szCs w:val="28"/>
        </w:rPr>
        <w:t xml:space="preserve"> implementation</w:t>
      </w:r>
      <w:r>
        <w:rPr>
          <w:sz w:val="22"/>
          <w:szCs w:val="28"/>
        </w:rPr>
        <w:t xml:space="preserve">. </w:t>
      </w:r>
    </w:p>
    <w:p w14:paraId="4E387EF7" w14:textId="77777777" w:rsidR="00C8772E" w:rsidRPr="00D625C7" w:rsidRDefault="00C8772E" w:rsidP="00C8772E">
      <w:pPr>
        <w:jc w:val="both"/>
        <w:rPr>
          <w:sz w:val="22"/>
          <w:szCs w:val="28"/>
        </w:rPr>
      </w:pPr>
    </w:p>
    <w:p w14:paraId="686BA5BE" w14:textId="77777777" w:rsidR="00C8772E" w:rsidRDefault="00C8772E" w:rsidP="00C8772E">
      <w:pPr>
        <w:jc w:val="both"/>
        <w:rPr>
          <w:sz w:val="22"/>
          <w:szCs w:val="28"/>
        </w:rPr>
      </w:pPr>
      <w:r w:rsidRPr="00D625C7">
        <w:rPr>
          <w:sz w:val="22"/>
          <w:szCs w:val="28"/>
        </w:rPr>
        <w:t xml:space="preserve">We continue to see value in States Parties sharing practical experiences in </w:t>
      </w:r>
      <w:r>
        <w:rPr>
          <w:sz w:val="22"/>
          <w:szCs w:val="28"/>
        </w:rPr>
        <w:t xml:space="preserve">implementing the ATT, including </w:t>
      </w:r>
      <w:proofErr w:type="gramStart"/>
      <w:r>
        <w:rPr>
          <w:sz w:val="22"/>
          <w:szCs w:val="28"/>
        </w:rPr>
        <w:t>in regard to</w:t>
      </w:r>
      <w:proofErr w:type="gramEnd"/>
      <w:r>
        <w:rPr>
          <w:sz w:val="22"/>
          <w:szCs w:val="28"/>
        </w:rPr>
        <w:t xml:space="preserve"> national control systems, comprehensive risk assessments and transparent reporting, as important confidence-building measures. </w:t>
      </w:r>
    </w:p>
    <w:p w14:paraId="04C245F7" w14:textId="77777777" w:rsidR="00C8772E" w:rsidRDefault="00C8772E" w:rsidP="00C8772E">
      <w:pPr>
        <w:jc w:val="both"/>
        <w:rPr>
          <w:sz w:val="22"/>
          <w:szCs w:val="28"/>
        </w:rPr>
      </w:pPr>
    </w:p>
    <w:p w14:paraId="2C02C356" w14:textId="77777777" w:rsidR="00C8772E" w:rsidRDefault="00C8772E" w:rsidP="00C8772E">
      <w:pPr>
        <w:jc w:val="both"/>
        <w:rPr>
          <w:sz w:val="22"/>
          <w:szCs w:val="28"/>
        </w:rPr>
      </w:pPr>
      <w:r>
        <w:rPr>
          <w:sz w:val="22"/>
          <w:szCs w:val="28"/>
        </w:rPr>
        <w:t xml:space="preserve">For our part, New Zealand’s national control system regulates the export of ‘strategic goods’. Goods classed as such, and therefore subject to New Zealand’s export controls regime, include all conventional arms, ammunitions and related parts and components within the scope of the ATT. Various other goods are also subject to the regime. New Zealand’s export controls team conducts risk assessments guided by six criteria to determine the granting of permits before strategic goods can be exported from New Zealand. </w:t>
      </w:r>
      <w:r w:rsidRPr="005F5C7A">
        <w:rPr>
          <w:sz w:val="22"/>
          <w:szCs w:val="28"/>
        </w:rPr>
        <w:t>The ATT is one of the treaties that was specifically considered in the design of these criteria, to ensure that the export controls regime gives effect to New Zealand’s legal obligations. Applications to export goods in violation of those legal obligations, including those under the ATT, will be declined.</w:t>
      </w:r>
      <w:r>
        <w:rPr>
          <w:sz w:val="22"/>
          <w:szCs w:val="28"/>
        </w:rPr>
        <w:t xml:space="preserve"> We note that both the strategic goods list and the six criteria are publicly available.</w:t>
      </w:r>
    </w:p>
    <w:p w14:paraId="010C9356" w14:textId="77777777" w:rsidR="00C8772E" w:rsidRPr="00D625C7" w:rsidRDefault="00C8772E" w:rsidP="00C8772E">
      <w:pPr>
        <w:jc w:val="both"/>
        <w:rPr>
          <w:sz w:val="22"/>
          <w:szCs w:val="28"/>
        </w:rPr>
      </w:pPr>
    </w:p>
    <w:p w14:paraId="5A7CFC98" w14:textId="77777777" w:rsidR="00C8772E" w:rsidRDefault="00C8772E" w:rsidP="00C8772E">
      <w:pPr>
        <w:jc w:val="both"/>
        <w:rPr>
          <w:sz w:val="22"/>
          <w:szCs w:val="28"/>
        </w:rPr>
      </w:pPr>
      <w:r w:rsidRPr="00D625C7">
        <w:rPr>
          <w:sz w:val="22"/>
          <w:szCs w:val="28"/>
        </w:rPr>
        <w:lastRenderedPageBreak/>
        <w:t>New Zealand also welcomes continued discussion of emerging challenges</w:t>
      </w:r>
      <w:r>
        <w:rPr>
          <w:sz w:val="22"/>
          <w:szCs w:val="28"/>
        </w:rPr>
        <w:t xml:space="preserve"> and longstanding issues</w:t>
      </w:r>
      <w:r w:rsidRPr="00D625C7">
        <w:rPr>
          <w:sz w:val="22"/>
          <w:szCs w:val="28"/>
        </w:rPr>
        <w:t xml:space="preserve"> through the Working Group on Effective Treaty Implementation</w:t>
      </w:r>
      <w:r>
        <w:rPr>
          <w:sz w:val="22"/>
          <w:szCs w:val="28"/>
        </w:rPr>
        <w:t>,</w:t>
      </w:r>
      <w:r w:rsidRPr="00D625C7">
        <w:rPr>
          <w:sz w:val="22"/>
          <w:szCs w:val="28"/>
        </w:rPr>
        <w:t xml:space="preserve"> </w:t>
      </w:r>
      <w:r>
        <w:rPr>
          <w:sz w:val="22"/>
          <w:szCs w:val="28"/>
        </w:rPr>
        <w:t>including in relation to maritime security.</w:t>
      </w:r>
    </w:p>
    <w:p w14:paraId="07F32F76" w14:textId="77777777" w:rsidR="00C8772E" w:rsidRPr="00D625C7" w:rsidRDefault="00C8772E" w:rsidP="00C8772E">
      <w:pPr>
        <w:jc w:val="both"/>
        <w:rPr>
          <w:sz w:val="22"/>
          <w:szCs w:val="28"/>
        </w:rPr>
      </w:pPr>
    </w:p>
    <w:p w14:paraId="17707173" w14:textId="77777777" w:rsidR="00C8772E" w:rsidRDefault="00C8772E" w:rsidP="00C8772E">
      <w:pPr>
        <w:jc w:val="both"/>
        <w:rPr>
          <w:sz w:val="22"/>
          <w:szCs w:val="28"/>
        </w:rPr>
      </w:pPr>
      <w:r>
        <w:rPr>
          <w:sz w:val="22"/>
          <w:szCs w:val="28"/>
        </w:rPr>
        <w:t>We believe sharing insights through the ATT is one of the practical ways we can all support effective implementation of the Arms Trade Treaty and deliver on its object and purpose.</w:t>
      </w:r>
    </w:p>
    <w:p w14:paraId="4FBD095D" w14:textId="77777777" w:rsidR="00C8772E" w:rsidRPr="00D625C7" w:rsidRDefault="00C8772E" w:rsidP="00C8772E">
      <w:pPr>
        <w:jc w:val="both"/>
        <w:rPr>
          <w:sz w:val="22"/>
          <w:szCs w:val="28"/>
        </w:rPr>
      </w:pPr>
    </w:p>
    <w:p w14:paraId="221D24A8" w14:textId="77777777" w:rsidR="00C8772E" w:rsidRPr="00D625C7" w:rsidRDefault="00C8772E" w:rsidP="00C8772E">
      <w:pPr>
        <w:jc w:val="both"/>
        <w:rPr>
          <w:sz w:val="22"/>
          <w:szCs w:val="28"/>
        </w:rPr>
      </w:pPr>
      <w:r w:rsidRPr="00D625C7">
        <w:rPr>
          <w:sz w:val="22"/>
          <w:szCs w:val="28"/>
        </w:rPr>
        <w:t>Thank you.</w:t>
      </w:r>
    </w:p>
    <w:p w14:paraId="7722E302" w14:textId="77777777" w:rsidR="001F7CB4" w:rsidRDefault="001F7CB4"/>
    <w:sectPr w:rsidR="001F7C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2E"/>
    <w:rsid w:val="00006D7B"/>
    <w:rsid w:val="001F7CB4"/>
    <w:rsid w:val="003F463C"/>
    <w:rsid w:val="00C8772E"/>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0122"/>
  <w15:chartTrackingRefBased/>
  <w15:docId w15:val="{1244A48C-D2BE-4220-9E7F-40872FEC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C8772E"/>
    <w:pPr>
      <w:tabs>
        <w:tab w:val="left" w:pos="567"/>
      </w:tabs>
      <w:spacing w:after="0" w:line="288" w:lineRule="auto"/>
    </w:pPr>
    <w:rPr>
      <w:rFonts w:ascii="Verdana" w:eastAsia="Times New Roman" w:hAnsi="Verdana" w:cs="Times New Roman"/>
      <w:kern w:val="0"/>
      <w:sz w:val="20"/>
      <w:lang w:val="en-NZ"/>
      <w14:ligatures w14:val="none"/>
    </w:rPr>
  </w:style>
  <w:style w:type="paragraph" w:styleId="Heading1">
    <w:name w:val="heading 1"/>
    <w:basedOn w:val="Normal"/>
    <w:next w:val="Normal"/>
    <w:link w:val="Heading1Char"/>
    <w:uiPriority w:val="9"/>
    <w:qFormat/>
    <w:rsid w:val="00C8772E"/>
    <w:pPr>
      <w:keepNext/>
      <w:keepLines/>
      <w:tabs>
        <w:tab w:val="clear" w:pos="567"/>
      </w:tab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H"/>
      <w14:ligatures w14:val="standardContextual"/>
    </w:rPr>
  </w:style>
  <w:style w:type="paragraph" w:styleId="Heading2">
    <w:name w:val="heading 2"/>
    <w:basedOn w:val="Normal"/>
    <w:next w:val="Normal"/>
    <w:link w:val="Heading2Char"/>
    <w:uiPriority w:val="9"/>
    <w:semiHidden/>
    <w:unhideWhenUsed/>
    <w:qFormat/>
    <w:rsid w:val="00C8772E"/>
    <w:pPr>
      <w:keepNext/>
      <w:keepLines/>
      <w:tabs>
        <w:tab w:val="clear" w:pos="567"/>
      </w:tab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H"/>
      <w14:ligatures w14:val="standardContextual"/>
    </w:rPr>
  </w:style>
  <w:style w:type="paragraph" w:styleId="Heading3">
    <w:name w:val="heading 3"/>
    <w:basedOn w:val="Normal"/>
    <w:next w:val="Normal"/>
    <w:link w:val="Heading3Char"/>
    <w:uiPriority w:val="9"/>
    <w:semiHidden/>
    <w:unhideWhenUsed/>
    <w:qFormat/>
    <w:rsid w:val="00C8772E"/>
    <w:pPr>
      <w:keepNext/>
      <w:keepLines/>
      <w:tabs>
        <w:tab w:val="clear" w:pos="567"/>
      </w:tabs>
      <w:spacing w:before="160" w:after="80" w:line="278" w:lineRule="auto"/>
      <w:outlineLvl w:val="2"/>
    </w:pPr>
    <w:rPr>
      <w:rFonts w:asciiTheme="minorHAnsi" w:eastAsiaTheme="majorEastAsia" w:hAnsiTheme="minorHAnsi" w:cstheme="majorBidi"/>
      <w:color w:val="0F4761" w:themeColor="accent1" w:themeShade="BF"/>
      <w:kern w:val="2"/>
      <w:sz w:val="28"/>
      <w:szCs w:val="28"/>
      <w:lang w:val="en-CH"/>
      <w14:ligatures w14:val="standardContextual"/>
    </w:rPr>
  </w:style>
  <w:style w:type="paragraph" w:styleId="Heading4">
    <w:name w:val="heading 4"/>
    <w:basedOn w:val="Normal"/>
    <w:next w:val="Normal"/>
    <w:link w:val="Heading4Char"/>
    <w:uiPriority w:val="9"/>
    <w:semiHidden/>
    <w:unhideWhenUsed/>
    <w:qFormat/>
    <w:rsid w:val="00C8772E"/>
    <w:pPr>
      <w:keepNext/>
      <w:keepLines/>
      <w:tabs>
        <w:tab w:val="clear" w:pos="567"/>
      </w:tabs>
      <w:spacing w:before="80" w:after="40" w:line="278" w:lineRule="auto"/>
      <w:outlineLvl w:val="3"/>
    </w:pPr>
    <w:rPr>
      <w:rFonts w:asciiTheme="minorHAnsi" w:eastAsiaTheme="majorEastAsia" w:hAnsiTheme="minorHAnsi" w:cstheme="majorBidi"/>
      <w:i/>
      <w:iCs/>
      <w:color w:val="0F4761" w:themeColor="accent1" w:themeShade="BF"/>
      <w:kern w:val="2"/>
      <w:sz w:val="24"/>
      <w:lang w:val="en-CH"/>
      <w14:ligatures w14:val="standardContextual"/>
    </w:rPr>
  </w:style>
  <w:style w:type="paragraph" w:styleId="Heading5">
    <w:name w:val="heading 5"/>
    <w:basedOn w:val="Normal"/>
    <w:next w:val="Normal"/>
    <w:link w:val="Heading5Char"/>
    <w:uiPriority w:val="9"/>
    <w:semiHidden/>
    <w:unhideWhenUsed/>
    <w:qFormat/>
    <w:rsid w:val="00C8772E"/>
    <w:pPr>
      <w:keepNext/>
      <w:keepLines/>
      <w:tabs>
        <w:tab w:val="clear" w:pos="567"/>
      </w:tabs>
      <w:spacing w:before="80" w:after="40" w:line="278" w:lineRule="auto"/>
      <w:outlineLvl w:val="4"/>
    </w:pPr>
    <w:rPr>
      <w:rFonts w:asciiTheme="minorHAnsi" w:eastAsiaTheme="majorEastAsia" w:hAnsiTheme="minorHAnsi" w:cstheme="majorBidi"/>
      <w:color w:val="0F4761" w:themeColor="accent1" w:themeShade="BF"/>
      <w:kern w:val="2"/>
      <w:sz w:val="24"/>
      <w:lang w:val="en-CH"/>
      <w14:ligatures w14:val="standardContextual"/>
    </w:rPr>
  </w:style>
  <w:style w:type="paragraph" w:styleId="Heading6">
    <w:name w:val="heading 6"/>
    <w:basedOn w:val="Normal"/>
    <w:next w:val="Normal"/>
    <w:link w:val="Heading6Char"/>
    <w:uiPriority w:val="9"/>
    <w:semiHidden/>
    <w:unhideWhenUsed/>
    <w:qFormat/>
    <w:rsid w:val="00C8772E"/>
    <w:pPr>
      <w:keepNext/>
      <w:keepLines/>
      <w:tabs>
        <w:tab w:val="clear" w:pos="567"/>
      </w:tabs>
      <w:spacing w:before="40" w:line="278" w:lineRule="auto"/>
      <w:outlineLvl w:val="5"/>
    </w:pPr>
    <w:rPr>
      <w:rFonts w:asciiTheme="minorHAnsi" w:eastAsiaTheme="majorEastAsia" w:hAnsiTheme="minorHAnsi" w:cstheme="majorBidi"/>
      <w:i/>
      <w:iCs/>
      <w:color w:val="595959" w:themeColor="text1" w:themeTint="A6"/>
      <w:kern w:val="2"/>
      <w:sz w:val="24"/>
      <w:lang w:val="en-CH"/>
      <w14:ligatures w14:val="standardContextual"/>
    </w:rPr>
  </w:style>
  <w:style w:type="paragraph" w:styleId="Heading7">
    <w:name w:val="heading 7"/>
    <w:basedOn w:val="Normal"/>
    <w:next w:val="Normal"/>
    <w:link w:val="Heading7Char"/>
    <w:uiPriority w:val="9"/>
    <w:semiHidden/>
    <w:unhideWhenUsed/>
    <w:qFormat/>
    <w:rsid w:val="00C8772E"/>
    <w:pPr>
      <w:keepNext/>
      <w:keepLines/>
      <w:tabs>
        <w:tab w:val="clear" w:pos="567"/>
      </w:tabs>
      <w:spacing w:before="40" w:line="278" w:lineRule="auto"/>
      <w:outlineLvl w:val="6"/>
    </w:pPr>
    <w:rPr>
      <w:rFonts w:asciiTheme="minorHAnsi" w:eastAsiaTheme="majorEastAsia" w:hAnsiTheme="minorHAnsi" w:cstheme="majorBidi"/>
      <w:color w:val="595959" w:themeColor="text1" w:themeTint="A6"/>
      <w:kern w:val="2"/>
      <w:sz w:val="24"/>
      <w:lang w:val="en-CH"/>
      <w14:ligatures w14:val="standardContextual"/>
    </w:rPr>
  </w:style>
  <w:style w:type="paragraph" w:styleId="Heading8">
    <w:name w:val="heading 8"/>
    <w:basedOn w:val="Normal"/>
    <w:next w:val="Normal"/>
    <w:link w:val="Heading8Char"/>
    <w:uiPriority w:val="9"/>
    <w:semiHidden/>
    <w:unhideWhenUsed/>
    <w:qFormat/>
    <w:rsid w:val="00C8772E"/>
    <w:pPr>
      <w:keepNext/>
      <w:keepLines/>
      <w:tabs>
        <w:tab w:val="clear" w:pos="567"/>
      </w:tabs>
      <w:spacing w:line="278" w:lineRule="auto"/>
      <w:outlineLvl w:val="7"/>
    </w:pPr>
    <w:rPr>
      <w:rFonts w:asciiTheme="minorHAnsi" w:eastAsiaTheme="majorEastAsia" w:hAnsiTheme="minorHAnsi" w:cstheme="majorBidi"/>
      <w:i/>
      <w:iCs/>
      <w:color w:val="272727" w:themeColor="text1" w:themeTint="D8"/>
      <w:kern w:val="2"/>
      <w:sz w:val="24"/>
      <w:lang w:val="en-CH"/>
      <w14:ligatures w14:val="standardContextual"/>
    </w:rPr>
  </w:style>
  <w:style w:type="paragraph" w:styleId="Heading9">
    <w:name w:val="heading 9"/>
    <w:basedOn w:val="Normal"/>
    <w:next w:val="Normal"/>
    <w:link w:val="Heading9Char"/>
    <w:uiPriority w:val="9"/>
    <w:semiHidden/>
    <w:unhideWhenUsed/>
    <w:qFormat/>
    <w:rsid w:val="00C8772E"/>
    <w:pPr>
      <w:keepNext/>
      <w:keepLines/>
      <w:tabs>
        <w:tab w:val="clear" w:pos="567"/>
      </w:tabs>
      <w:spacing w:line="278" w:lineRule="auto"/>
      <w:outlineLvl w:val="8"/>
    </w:pPr>
    <w:rPr>
      <w:rFonts w:asciiTheme="minorHAnsi" w:eastAsiaTheme="majorEastAsia" w:hAnsiTheme="minorHAnsi" w:cstheme="majorBidi"/>
      <w:color w:val="272727" w:themeColor="text1" w:themeTint="D8"/>
      <w:kern w:val="2"/>
      <w:sz w:val="24"/>
      <w:lang w:val="en-C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7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7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7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7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7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7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7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7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72E"/>
    <w:rPr>
      <w:rFonts w:eastAsiaTheme="majorEastAsia" w:cstheme="majorBidi"/>
      <w:color w:val="272727" w:themeColor="text1" w:themeTint="D8"/>
    </w:rPr>
  </w:style>
  <w:style w:type="paragraph" w:styleId="Title">
    <w:name w:val="Title"/>
    <w:basedOn w:val="Normal"/>
    <w:next w:val="Normal"/>
    <w:link w:val="TitleChar"/>
    <w:uiPriority w:val="10"/>
    <w:qFormat/>
    <w:rsid w:val="00C8772E"/>
    <w:pPr>
      <w:tabs>
        <w:tab w:val="clear" w:pos="567"/>
      </w:tabs>
      <w:spacing w:after="80" w:line="240" w:lineRule="auto"/>
      <w:contextualSpacing/>
    </w:pPr>
    <w:rPr>
      <w:rFonts w:asciiTheme="majorHAnsi" w:eastAsiaTheme="majorEastAsia" w:hAnsiTheme="majorHAnsi" w:cstheme="majorBidi"/>
      <w:spacing w:val="-10"/>
      <w:kern w:val="28"/>
      <w:sz w:val="56"/>
      <w:szCs w:val="56"/>
      <w:lang w:val="en-CH"/>
      <w14:ligatures w14:val="standardContextual"/>
    </w:rPr>
  </w:style>
  <w:style w:type="character" w:customStyle="1" w:styleId="TitleChar">
    <w:name w:val="Title Char"/>
    <w:basedOn w:val="DefaultParagraphFont"/>
    <w:link w:val="Title"/>
    <w:uiPriority w:val="10"/>
    <w:rsid w:val="00C877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72E"/>
    <w:pPr>
      <w:numPr>
        <w:ilvl w:val="1"/>
      </w:numPr>
      <w:tabs>
        <w:tab w:val="clear" w:pos="567"/>
      </w:tabs>
      <w:spacing w:after="160" w:line="278" w:lineRule="auto"/>
    </w:pPr>
    <w:rPr>
      <w:rFonts w:asciiTheme="minorHAnsi" w:eastAsiaTheme="majorEastAsia" w:hAnsiTheme="minorHAnsi" w:cstheme="majorBidi"/>
      <w:color w:val="595959" w:themeColor="text1" w:themeTint="A6"/>
      <w:spacing w:val="15"/>
      <w:kern w:val="2"/>
      <w:sz w:val="28"/>
      <w:szCs w:val="28"/>
      <w:lang w:val="en-CH"/>
      <w14:ligatures w14:val="standardContextual"/>
    </w:rPr>
  </w:style>
  <w:style w:type="character" w:customStyle="1" w:styleId="SubtitleChar">
    <w:name w:val="Subtitle Char"/>
    <w:basedOn w:val="DefaultParagraphFont"/>
    <w:link w:val="Subtitle"/>
    <w:uiPriority w:val="11"/>
    <w:rsid w:val="00C877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72E"/>
    <w:pPr>
      <w:tabs>
        <w:tab w:val="clear" w:pos="567"/>
      </w:tabs>
      <w:spacing w:before="160" w:after="160" w:line="278" w:lineRule="auto"/>
      <w:jc w:val="center"/>
    </w:pPr>
    <w:rPr>
      <w:rFonts w:asciiTheme="minorHAnsi" w:eastAsiaTheme="minorHAnsi" w:hAnsiTheme="minorHAnsi" w:cstheme="minorBidi"/>
      <w:i/>
      <w:iCs/>
      <w:color w:val="404040" w:themeColor="text1" w:themeTint="BF"/>
      <w:kern w:val="2"/>
      <w:sz w:val="24"/>
      <w:lang w:val="en-CH"/>
      <w14:ligatures w14:val="standardContextual"/>
    </w:rPr>
  </w:style>
  <w:style w:type="character" w:customStyle="1" w:styleId="QuoteChar">
    <w:name w:val="Quote Char"/>
    <w:basedOn w:val="DefaultParagraphFont"/>
    <w:link w:val="Quote"/>
    <w:uiPriority w:val="29"/>
    <w:rsid w:val="00C8772E"/>
    <w:rPr>
      <w:i/>
      <w:iCs/>
      <w:color w:val="404040" w:themeColor="text1" w:themeTint="BF"/>
    </w:rPr>
  </w:style>
  <w:style w:type="paragraph" w:styleId="ListParagraph">
    <w:name w:val="List Paragraph"/>
    <w:basedOn w:val="Normal"/>
    <w:uiPriority w:val="34"/>
    <w:qFormat/>
    <w:rsid w:val="00C8772E"/>
    <w:pPr>
      <w:tabs>
        <w:tab w:val="clear" w:pos="567"/>
      </w:tabs>
      <w:spacing w:after="160" w:line="278" w:lineRule="auto"/>
      <w:ind w:left="720"/>
      <w:contextualSpacing/>
    </w:pPr>
    <w:rPr>
      <w:rFonts w:asciiTheme="minorHAnsi" w:eastAsiaTheme="minorHAnsi" w:hAnsiTheme="minorHAnsi" w:cstheme="minorBidi"/>
      <w:kern w:val="2"/>
      <w:sz w:val="24"/>
      <w:lang w:val="en-CH"/>
      <w14:ligatures w14:val="standardContextual"/>
    </w:rPr>
  </w:style>
  <w:style w:type="character" w:styleId="IntenseEmphasis">
    <w:name w:val="Intense Emphasis"/>
    <w:basedOn w:val="DefaultParagraphFont"/>
    <w:uiPriority w:val="21"/>
    <w:qFormat/>
    <w:rsid w:val="00C8772E"/>
    <w:rPr>
      <w:i/>
      <w:iCs/>
      <w:color w:val="0F4761" w:themeColor="accent1" w:themeShade="BF"/>
    </w:rPr>
  </w:style>
  <w:style w:type="paragraph" w:styleId="IntenseQuote">
    <w:name w:val="Intense Quote"/>
    <w:basedOn w:val="Normal"/>
    <w:next w:val="Normal"/>
    <w:link w:val="IntenseQuoteChar"/>
    <w:uiPriority w:val="30"/>
    <w:qFormat/>
    <w:rsid w:val="00C8772E"/>
    <w:pPr>
      <w:pBdr>
        <w:top w:val="single" w:sz="4" w:space="10" w:color="0F4761" w:themeColor="accent1" w:themeShade="BF"/>
        <w:bottom w:val="single" w:sz="4" w:space="10" w:color="0F4761" w:themeColor="accent1" w:themeShade="BF"/>
      </w:pBdr>
      <w:tabs>
        <w:tab w:val="clear" w:pos="567"/>
      </w:tabs>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en-CH"/>
      <w14:ligatures w14:val="standardContextual"/>
    </w:rPr>
  </w:style>
  <w:style w:type="character" w:customStyle="1" w:styleId="IntenseQuoteChar">
    <w:name w:val="Intense Quote Char"/>
    <w:basedOn w:val="DefaultParagraphFont"/>
    <w:link w:val="IntenseQuote"/>
    <w:uiPriority w:val="30"/>
    <w:rsid w:val="00C8772E"/>
    <w:rPr>
      <w:i/>
      <w:iCs/>
      <w:color w:val="0F4761" w:themeColor="accent1" w:themeShade="BF"/>
    </w:rPr>
  </w:style>
  <w:style w:type="character" w:styleId="IntenseReference">
    <w:name w:val="Intense Reference"/>
    <w:basedOn w:val="DefaultParagraphFont"/>
    <w:uiPriority w:val="32"/>
    <w:qFormat/>
    <w:rsid w:val="00C8772E"/>
    <w:rPr>
      <w:b/>
      <w:bCs/>
      <w:smallCaps/>
      <w:color w:val="0F4761" w:themeColor="accent1" w:themeShade="BF"/>
      <w:spacing w:val="5"/>
    </w:rPr>
  </w:style>
  <w:style w:type="table" w:customStyle="1" w:styleId="Table-Grid">
    <w:name w:val="Table-Grid"/>
    <w:basedOn w:val="TableNormal"/>
    <w:uiPriority w:val="99"/>
    <w:rsid w:val="00C8772E"/>
    <w:pPr>
      <w:spacing w:after="0" w:line="240" w:lineRule="auto"/>
    </w:pPr>
    <w:rPr>
      <w:rFonts w:ascii="Times New Roman" w:eastAsia="Times New Roman" w:hAnsi="Times New Roman" w:cs="Times New Roman"/>
      <w:sz w:val="20"/>
      <w:szCs w:val="20"/>
      <w:lang w:val="en-NZ"/>
    </w:rPr>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D53234-5695-4A9E-98A2-A6FB7D435425}"/>
</file>

<file path=customXml/itemProps2.xml><?xml version="1.0" encoding="utf-8"?>
<ds:datastoreItem xmlns:ds="http://schemas.openxmlformats.org/officeDocument/2006/customXml" ds:itemID="{236BE1B3-C888-4D63-8C74-C013C25A6A09}"/>
</file>

<file path=customXml/itemProps3.xml><?xml version="1.0" encoding="utf-8"?>
<ds:datastoreItem xmlns:ds="http://schemas.openxmlformats.org/officeDocument/2006/customXml" ds:itemID="{90964B7E-5CE6-46A8-8383-335846C8E728}"/>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Chaymaa Chalf</dc:creator>
  <cp:keywords/>
  <dc:description/>
  <cp:lastModifiedBy>Chaymaa Chalf</cp:lastModifiedBy>
  <cp:revision>1</cp:revision>
  <dcterms:created xsi:type="dcterms:W3CDTF">2026-08-23T09:21:00Z</dcterms:created>
  <dcterms:modified xsi:type="dcterms:W3CDTF">2026-08-23T09:23:00Z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