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B932" w14:textId="37A7BEA3" w:rsidR="00E83162" w:rsidRDefault="00E83162">
      <w:r>
        <w:t>WGTR</w:t>
      </w:r>
    </w:p>
    <w:p w14:paraId="5D604460" w14:textId="1AE00AB7" w:rsidR="00E83162" w:rsidRPr="00E83162" w:rsidRDefault="00E83162" w:rsidP="00E83162">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E83162">
        <w:rPr>
          <w:rFonts w:ascii="Noto Sans" w:hAnsi="Noto Sans" w:cs="Noto Sans"/>
          <w:sz w:val="22"/>
          <w:szCs w:val="22"/>
          <w:lang w:val="es-ES"/>
        </w:rPr>
        <w:t>México desea iniciar por reconocer y agradecer la destacada labor de la presidenta del GT de Perú, así como el valioso apoyo brindado por la Secretaría del Tratado a dicho Grupo.</w:t>
      </w:r>
    </w:p>
    <w:p w14:paraId="1F1A3E82" w14:textId="2007C3FB" w:rsidR="00E83162" w:rsidRPr="00E83162" w:rsidRDefault="00E83162" w:rsidP="00E83162">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E83162">
        <w:rPr>
          <w:rFonts w:ascii="Noto Sans" w:hAnsi="Noto Sans" w:cs="Noto Sans"/>
          <w:sz w:val="22"/>
          <w:szCs w:val="22"/>
          <w:lang w:val="es-ES"/>
        </w:rPr>
        <w:t>México considera fundamental continuar fortaleciendo la iniciativa de Campeones Regionales de Reporte. Cada región enfrenta desafíos diferenciados, por lo que la sensibilidad al contexto regional resulta especialmente útil para asistir a los Estados con menores tasas de presentación. Consideramos esencial que esta iniciativa siga contando con el apoyo de la Secretaría, incluso para identificar los retos y las áreas geográficas que requieren mayor acompañamiento.</w:t>
      </w:r>
    </w:p>
    <w:p w14:paraId="49FECFB5" w14:textId="64F6422F" w:rsidR="00E83162" w:rsidRPr="00E83162" w:rsidRDefault="00E83162" w:rsidP="00E83162">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E83162">
        <w:rPr>
          <w:rFonts w:ascii="Noto Sans" w:hAnsi="Noto Sans" w:cs="Noto Sans"/>
          <w:sz w:val="22"/>
          <w:szCs w:val="22"/>
          <w:lang w:val="es-ES"/>
        </w:rPr>
        <w:t>México reconoce la propuesta de establecer un grupo orientador informal. Consideramos que puede aportar conocimientos especializados, siempre que su mandato sea claro y no genere estructuras paralelas ni cargas adicionales.</w:t>
      </w:r>
    </w:p>
    <w:p w14:paraId="1387D21B" w14:textId="5655E249" w:rsidR="00E83162" w:rsidRPr="00E83162" w:rsidRDefault="00E83162" w:rsidP="00E83162">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E83162">
        <w:rPr>
          <w:rFonts w:ascii="Noto Sans" w:hAnsi="Noto Sans" w:cs="Noto Sans"/>
          <w:sz w:val="22"/>
          <w:szCs w:val="22"/>
          <w:lang w:val="es-ES"/>
        </w:rPr>
        <w:t>Al respecto, sería oportuno aclarar la relación entre este mecanismo y la iniciativa de Campeones Regionales de Reporte, en particular si el grupo orientador busca complementar los esfuerzos existentes o asumir alguna de sus funciones.</w:t>
      </w:r>
    </w:p>
    <w:p w14:paraId="49C9F1AE" w14:textId="63497F4B" w:rsidR="00E83162" w:rsidRPr="00E83162" w:rsidRDefault="00E83162" w:rsidP="00E83162">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E83162">
        <w:rPr>
          <w:rFonts w:ascii="Noto Sans" w:hAnsi="Noto Sans" w:cs="Noto Sans"/>
          <w:sz w:val="22"/>
          <w:szCs w:val="22"/>
          <w:lang w:val="es-ES"/>
        </w:rPr>
        <w:t>México respalda la propuesta de Francia y Brasil de promover reuniones regionales, subregionales y bilaterales para el intercambio de información sobre desvíos. México apoya que sus resultados puedan presentarse posteriormente en las reuniones del DIEF con carácter estrictamente voluntario, preservando en todo momento los Términos de Referencia y la naturaleza confidencial del Foro.</w:t>
      </w:r>
    </w:p>
    <w:p w14:paraId="7A802B8D" w14:textId="15A54D58" w:rsidR="00E83162" w:rsidRPr="00E83162" w:rsidRDefault="00E83162" w:rsidP="00E83162">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E83162">
        <w:rPr>
          <w:rFonts w:ascii="Noto Sans" w:hAnsi="Noto Sans" w:cs="Noto Sans"/>
          <w:sz w:val="22"/>
          <w:szCs w:val="22"/>
          <w:lang w:val="es-ES"/>
        </w:rPr>
        <w:t xml:space="preserve">México considera igualmente valioso continuar promoviendo la cooperación interinstitucional a nivel nacional </w:t>
      </w:r>
      <w:r>
        <w:rPr>
          <w:rFonts w:ascii="Noto Sans" w:hAnsi="Noto Sans" w:cs="Noto Sans"/>
          <w:sz w:val="22"/>
          <w:szCs w:val="22"/>
          <w:lang w:val="es-ES"/>
        </w:rPr>
        <w:t>a</w:t>
      </w:r>
      <w:r w:rsidRPr="00E83162">
        <w:rPr>
          <w:rFonts w:ascii="Noto Sans" w:hAnsi="Noto Sans" w:cs="Noto Sans"/>
          <w:sz w:val="22"/>
          <w:szCs w:val="22"/>
          <w:lang w:val="es-ES"/>
        </w:rPr>
        <w:t xml:space="preserve"> fin de mejorar la puntualidad de los informes como su calidad y coherencia.</w:t>
      </w:r>
    </w:p>
    <w:p w14:paraId="2213CCA4" w14:textId="77777777" w:rsidR="00E83162" w:rsidRPr="00E83162" w:rsidRDefault="00E83162" w:rsidP="00E83162">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E83162">
        <w:rPr>
          <w:rFonts w:ascii="Noto Sans" w:hAnsi="Noto Sans" w:cs="Noto Sans"/>
          <w:sz w:val="22"/>
          <w:szCs w:val="22"/>
          <w:lang w:val="es-ES"/>
        </w:rPr>
        <w:t>Reiteramos el llamado a desarrollar y facilitar datos desagregados que permitan analizar en qué medida los Estados Parte integran criterios de género, incluyendo a las comunidades SOGIESC, en las evaluaciones de riesgo para la autorización de operaciones de comercio de armas. Muchas gracias.</w:t>
      </w:r>
    </w:p>
    <w:p w14:paraId="4C883EF9" w14:textId="77777777" w:rsidR="00E83162" w:rsidRPr="00E83162" w:rsidRDefault="00E83162">
      <w:pPr>
        <w:rPr>
          <w:lang w:val="es-ES"/>
        </w:rPr>
      </w:pPr>
    </w:p>
    <w:sectPr w:rsidR="00E83162" w:rsidRPr="00E83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62"/>
    <w:rsid w:val="0031077E"/>
    <w:rsid w:val="003D65DD"/>
    <w:rsid w:val="0062572F"/>
    <w:rsid w:val="00E83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17EC"/>
  <w15:chartTrackingRefBased/>
  <w15:docId w15:val="{634607EE-3D4B-4162-8D76-B0969028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1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1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1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1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1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1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1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1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1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1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162"/>
    <w:rPr>
      <w:rFonts w:eastAsiaTheme="majorEastAsia" w:cstheme="majorBidi"/>
      <w:color w:val="272727" w:themeColor="text1" w:themeTint="D8"/>
    </w:rPr>
  </w:style>
  <w:style w:type="paragraph" w:styleId="Title">
    <w:name w:val="Title"/>
    <w:basedOn w:val="Normal"/>
    <w:next w:val="Normal"/>
    <w:link w:val="TitleChar"/>
    <w:uiPriority w:val="10"/>
    <w:qFormat/>
    <w:rsid w:val="00E83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1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162"/>
    <w:pPr>
      <w:spacing w:before="160"/>
      <w:jc w:val="center"/>
    </w:pPr>
    <w:rPr>
      <w:i/>
      <w:iCs/>
      <w:color w:val="404040" w:themeColor="text1" w:themeTint="BF"/>
    </w:rPr>
  </w:style>
  <w:style w:type="character" w:customStyle="1" w:styleId="QuoteChar">
    <w:name w:val="Quote Char"/>
    <w:basedOn w:val="DefaultParagraphFont"/>
    <w:link w:val="Quote"/>
    <w:uiPriority w:val="29"/>
    <w:rsid w:val="00E83162"/>
    <w:rPr>
      <w:i/>
      <w:iCs/>
      <w:color w:val="404040" w:themeColor="text1" w:themeTint="BF"/>
    </w:rPr>
  </w:style>
  <w:style w:type="paragraph" w:styleId="ListParagraph">
    <w:name w:val="List Paragraph"/>
    <w:basedOn w:val="Normal"/>
    <w:uiPriority w:val="34"/>
    <w:qFormat/>
    <w:rsid w:val="00E83162"/>
    <w:pPr>
      <w:ind w:left="720"/>
      <w:contextualSpacing/>
    </w:pPr>
  </w:style>
  <w:style w:type="character" w:styleId="IntenseEmphasis">
    <w:name w:val="Intense Emphasis"/>
    <w:basedOn w:val="DefaultParagraphFont"/>
    <w:uiPriority w:val="21"/>
    <w:qFormat/>
    <w:rsid w:val="00E83162"/>
    <w:rPr>
      <w:i/>
      <w:iCs/>
      <w:color w:val="0F4761" w:themeColor="accent1" w:themeShade="BF"/>
    </w:rPr>
  </w:style>
  <w:style w:type="paragraph" w:styleId="IntenseQuote">
    <w:name w:val="Intense Quote"/>
    <w:basedOn w:val="Normal"/>
    <w:next w:val="Normal"/>
    <w:link w:val="IntenseQuoteChar"/>
    <w:uiPriority w:val="30"/>
    <w:qFormat/>
    <w:rsid w:val="00E83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162"/>
    <w:rPr>
      <w:i/>
      <w:iCs/>
      <w:color w:val="0F4761" w:themeColor="accent1" w:themeShade="BF"/>
    </w:rPr>
  </w:style>
  <w:style w:type="character" w:styleId="IntenseReference">
    <w:name w:val="Intense Reference"/>
    <w:basedOn w:val="DefaultParagraphFont"/>
    <w:uiPriority w:val="32"/>
    <w:qFormat/>
    <w:rsid w:val="00E831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424189-730D-492A-99FC-DB3A73E8712A}"/>
</file>

<file path=customXml/itemProps2.xml><?xml version="1.0" encoding="utf-8"?>
<ds:datastoreItem xmlns:ds="http://schemas.openxmlformats.org/officeDocument/2006/customXml" ds:itemID="{888D8CA9-FA36-445C-A2CF-2F125C8A8C34}"/>
</file>

<file path=customXml/itemProps3.xml><?xml version="1.0" encoding="utf-8"?>
<ds:datastoreItem xmlns:ds="http://schemas.openxmlformats.org/officeDocument/2006/customXml" ds:itemID="{811C67DE-4135-4724-98C1-EE4D15614A4C}"/>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Sotres Brito, Ximena</dc:creator>
  <cp:keywords/>
  <dc:description/>
  <cp:lastModifiedBy>Sotres Brito, Ximena</cp:lastModifiedBy>
  <cp:revision>1</cp:revision>
  <dcterms:created xsi:type="dcterms:W3CDTF">2026-08-25T10:37:00Z</dcterms:created>
  <dcterms:modified xsi:type="dcterms:W3CDTF">2026-08-25T10:39:00Z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