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536AE" w14:textId="58F4A112" w:rsidR="0078488A" w:rsidRPr="0078488A" w:rsidRDefault="0078488A" w:rsidP="00510BB7">
      <w:pPr>
        <w:bidi/>
        <w:jc w:val="center"/>
        <w:rPr>
          <w:rFonts w:ascii="Dubai" w:eastAsia="Times New Roman" w:hAnsi="Dubai" w:cs="Dubai"/>
          <w:b/>
          <w:bCs/>
          <w:color w:val="3333FF"/>
          <w:sz w:val="28"/>
          <w:szCs w:val="28"/>
          <w:rtl/>
        </w:rPr>
      </w:pPr>
      <w:r w:rsidRPr="0078488A">
        <w:rPr>
          <w:rFonts w:ascii="Dubai" w:eastAsia="Times New Roman" w:hAnsi="Dubai" w:cs="Dubai"/>
          <w:b/>
          <w:bCs/>
          <w:color w:val="3333FF"/>
          <w:sz w:val="28"/>
          <w:szCs w:val="28"/>
          <w:rtl/>
        </w:rPr>
        <w:t>المداخلة الثانية: تعزيز الشفافية في عمليات نقل الأسلحة إلى الدول التي تشهد نزاعات مسلحة ومنع مخاطر تحويلها</w:t>
      </w:r>
    </w:p>
    <w:p w14:paraId="765B4575" w14:textId="014F8CED" w:rsidR="0078488A" w:rsidRPr="0078488A" w:rsidRDefault="0078488A" w:rsidP="0078488A">
      <w:pPr>
        <w:bidi/>
        <w:jc w:val="lowKashida"/>
        <w:rPr>
          <w:rFonts w:ascii="Dubai" w:eastAsia="Times New Roman" w:hAnsi="Dubai" w:cs="Dubai"/>
          <w:sz w:val="26"/>
          <w:szCs w:val="26"/>
        </w:rPr>
      </w:pPr>
      <w:r w:rsidRPr="0078488A">
        <w:rPr>
          <w:rFonts w:ascii="Dubai" w:eastAsia="Times New Roman" w:hAnsi="Dubai" w:cs="Dubai"/>
          <w:b/>
          <w:bCs/>
          <w:sz w:val="26"/>
          <w:szCs w:val="26"/>
          <w:rtl/>
        </w:rPr>
        <w:t>مقدمة إلى الفريق المعني بالشفافية وإعداد التقارير في إطار معاهدة تجارة الأسلحة</w:t>
      </w:r>
    </w:p>
    <w:p w14:paraId="26849D3B" w14:textId="63DE2029" w:rsidR="0078488A" w:rsidRPr="0078488A" w:rsidRDefault="0078488A" w:rsidP="0078488A">
      <w:pPr>
        <w:bidi/>
        <w:jc w:val="lowKashida"/>
        <w:rPr>
          <w:rFonts w:ascii="Dubai" w:eastAsia="Times New Roman" w:hAnsi="Dubai" w:cs="Dubai"/>
          <w:sz w:val="26"/>
          <w:szCs w:val="26"/>
        </w:rPr>
      </w:pPr>
      <w:r w:rsidRPr="0078488A">
        <w:rPr>
          <w:rFonts w:ascii="Dubai" w:eastAsia="Times New Roman" w:hAnsi="Dubai" w:cs="Dubai"/>
          <w:sz w:val="26"/>
          <w:szCs w:val="26"/>
          <w:rtl/>
        </w:rPr>
        <w:t>شكرًا سيدي الميسّر</w:t>
      </w:r>
      <w:r w:rsidRPr="0078488A">
        <w:rPr>
          <w:rFonts w:ascii="Dubai" w:eastAsia="Times New Roman" w:hAnsi="Dubai" w:cs="Dubai"/>
          <w:sz w:val="26"/>
          <w:szCs w:val="26"/>
        </w:rPr>
        <w:t>.</w:t>
      </w:r>
    </w:p>
    <w:p w14:paraId="4890A07F" w14:textId="77777777" w:rsidR="0078488A" w:rsidRPr="0078488A" w:rsidRDefault="0078488A" w:rsidP="0078488A">
      <w:pPr>
        <w:bidi/>
        <w:jc w:val="lowKashida"/>
        <w:rPr>
          <w:rFonts w:ascii="Dubai" w:eastAsia="Times New Roman" w:hAnsi="Dubai" w:cs="Dubai"/>
          <w:sz w:val="26"/>
          <w:szCs w:val="26"/>
        </w:rPr>
      </w:pPr>
      <w:r w:rsidRPr="0078488A">
        <w:rPr>
          <w:rFonts w:ascii="Dubai" w:eastAsia="Times New Roman" w:hAnsi="Dubai" w:cs="Dubai"/>
          <w:sz w:val="26"/>
          <w:szCs w:val="26"/>
          <w:rtl/>
        </w:rPr>
        <w:t>يمثل تعزيز الشفافية في عمليات نقل الأسلحة إلى الدول التي تعاني من النزاعات المسلحة ركيزة أساسية في الجهود الدولية الرامية إلى الحد من تفاقم الصراعات المسلحة، ومنع تحويل وجهة الأسلحة إلى أطراف غير مشروعة أو منخرطة في انتهاكات خطيرة للقانون الدولي لحقوق الإنسان أو القانون الدولي الإنساني</w:t>
      </w:r>
      <w:r w:rsidRPr="0078488A">
        <w:rPr>
          <w:rFonts w:ascii="Dubai" w:eastAsia="Times New Roman" w:hAnsi="Dubai" w:cs="Dubai"/>
          <w:sz w:val="26"/>
          <w:szCs w:val="26"/>
        </w:rPr>
        <w:t>.</w:t>
      </w:r>
    </w:p>
    <w:p w14:paraId="6F6A0D96" w14:textId="77777777" w:rsidR="0078488A" w:rsidRPr="0078488A" w:rsidRDefault="0078488A" w:rsidP="0078488A">
      <w:pPr>
        <w:bidi/>
        <w:jc w:val="lowKashida"/>
        <w:rPr>
          <w:rFonts w:ascii="Dubai" w:eastAsia="Times New Roman" w:hAnsi="Dubai" w:cs="Dubai"/>
          <w:sz w:val="26"/>
          <w:szCs w:val="26"/>
        </w:rPr>
      </w:pPr>
      <w:r w:rsidRPr="0078488A">
        <w:rPr>
          <w:rFonts w:ascii="Dubai" w:eastAsia="Times New Roman" w:hAnsi="Dubai" w:cs="Dubai"/>
          <w:sz w:val="26"/>
          <w:szCs w:val="26"/>
          <w:rtl/>
        </w:rPr>
        <w:t>إن توفير معلومات دقيقة، وشاملة، ومتاحة للجمهور بشأن أنواع وكميات الأسلحة المنقولة إلى مناطق النزاع، يتيح للمجتمع الدولي وللجهات المعنية تقييم المخاطر المصاحبة لهذه العمليات، واتخاذ التدابير الوقائية اللازمة لمنع إساءة استخدام الأسلحة أو تحويل مسارها</w:t>
      </w:r>
      <w:r w:rsidRPr="0078488A">
        <w:rPr>
          <w:rFonts w:ascii="Dubai" w:eastAsia="Times New Roman" w:hAnsi="Dubai" w:cs="Dubai"/>
          <w:sz w:val="26"/>
          <w:szCs w:val="26"/>
        </w:rPr>
        <w:t>.</w:t>
      </w:r>
    </w:p>
    <w:p w14:paraId="52983172" w14:textId="77777777" w:rsidR="0078488A" w:rsidRPr="0078488A" w:rsidRDefault="0078488A" w:rsidP="0078488A">
      <w:pPr>
        <w:bidi/>
        <w:jc w:val="lowKashida"/>
        <w:rPr>
          <w:rFonts w:ascii="Dubai" w:eastAsia="Times New Roman" w:hAnsi="Dubai" w:cs="Dubai"/>
          <w:sz w:val="26"/>
          <w:szCs w:val="26"/>
        </w:rPr>
      </w:pPr>
      <w:r w:rsidRPr="0078488A">
        <w:rPr>
          <w:rFonts w:ascii="Dubai" w:eastAsia="Times New Roman" w:hAnsi="Dubai" w:cs="Dubai"/>
          <w:sz w:val="26"/>
          <w:szCs w:val="26"/>
          <w:rtl/>
        </w:rPr>
        <w:t>وفي هذا السياق، شكّل اندلاع النزاع المسلح في أوكرانيا في فبراير 2022 نقطة تحوّل لافتة، إذ تصاعدت عمليات نقل الأسلحة إلى الحكومة الأوكرانية على نحو غير مسبوق، ما جعل أوكرانيا، بحلول عام 2025، أكبر مستورد للأسلحة على مستوى العالم. ويعزز هذا الواقع الحاجة الملحّة إلى تعزيز الشفافية بشأن تدفق الأسلحة إلى أوكرانيا، ليس فقط خلال النزاع، بل أيضًا فيما يتعلق بما بعد انتهاء الأعمال العدائية، بما يضمن ضبط ومنع أي تحويل محتمل للأسلحة نحو بؤر صراع أخرى أو إلى أطراف غير مشروعة</w:t>
      </w:r>
      <w:r w:rsidRPr="0078488A">
        <w:rPr>
          <w:rFonts w:ascii="Dubai" w:eastAsia="Times New Roman" w:hAnsi="Dubai" w:cs="Dubai"/>
          <w:sz w:val="26"/>
          <w:szCs w:val="26"/>
        </w:rPr>
        <w:t>.</w:t>
      </w:r>
    </w:p>
    <w:p w14:paraId="33ADC94B" w14:textId="77777777" w:rsidR="0078488A" w:rsidRPr="0078488A" w:rsidRDefault="0078488A" w:rsidP="0078488A">
      <w:pPr>
        <w:bidi/>
        <w:jc w:val="lowKashida"/>
        <w:rPr>
          <w:rFonts w:ascii="Dubai" w:eastAsia="Times New Roman" w:hAnsi="Dubai" w:cs="Dubai"/>
          <w:sz w:val="26"/>
          <w:szCs w:val="26"/>
        </w:rPr>
      </w:pPr>
      <w:r w:rsidRPr="0078488A">
        <w:rPr>
          <w:rFonts w:ascii="Dubai" w:eastAsia="Times New Roman" w:hAnsi="Dubai" w:cs="Dubai"/>
          <w:sz w:val="26"/>
          <w:szCs w:val="26"/>
          <w:rtl/>
        </w:rPr>
        <w:t>رغم التزام عدد من الدول الأوروبية المصدّرة – بما في ذلك جمهورية التشيك، ألمانيا، بولندا، المملكة المتحدة، كرواتيا، الدنمارك، وفرنسا – بتقديم تقارير سنوية بموجب المعاهدة في عام 2023، إلا أن بعض هذه الدول لم تقدم تقاريرها لعام 2024 حتى الآن، فيما قيدت دول أخرى، ككرواتيا، إمكانية الوصول إلى تقاريرها للجمهور. كما أن عددًا من التقارير المقدمة افتقر إلى معلومات كافية بشأن عمليات التصدير إلى أوكرانيا، وهو ما يُعد تقصيرًا في الامتثال لمبدأ الشفافية المنصوص عليه في المعاهدة</w:t>
      </w:r>
      <w:r w:rsidRPr="0078488A">
        <w:rPr>
          <w:rFonts w:ascii="Dubai" w:eastAsia="Times New Roman" w:hAnsi="Dubai" w:cs="Dubai"/>
          <w:sz w:val="26"/>
          <w:szCs w:val="26"/>
        </w:rPr>
        <w:t>.</w:t>
      </w:r>
    </w:p>
    <w:p w14:paraId="2D1004C9" w14:textId="77777777" w:rsidR="0078488A" w:rsidRPr="0078488A" w:rsidRDefault="0078488A" w:rsidP="0078488A">
      <w:pPr>
        <w:bidi/>
        <w:jc w:val="lowKashida"/>
        <w:rPr>
          <w:rFonts w:ascii="Dubai" w:eastAsia="Times New Roman" w:hAnsi="Dubai" w:cs="Dubai"/>
          <w:sz w:val="26"/>
          <w:szCs w:val="26"/>
        </w:rPr>
      </w:pPr>
      <w:r w:rsidRPr="0078488A">
        <w:rPr>
          <w:rFonts w:ascii="Dubai" w:eastAsia="Times New Roman" w:hAnsi="Dubai" w:cs="Dubai"/>
          <w:sz w:val="26"/>
          <w:szCs w:val="26"/>
          <w:rtl/>
        </w:rPr>
        <w:lastRenderedPageBreak/>
        <w:t>في المقابل، تشير التقارير إلى أن ضعف الشفافية بشأن نقل الأسلحة أسهم في وقوع حالات لتحويل وجهتها بصورة غير مشروعة، مما أدى إلى تفاقم النزاعات وانتهاكات واسعة النطاق. ففي السودان، وُثقت انتهاكات جسيمة للقانون الدولي الإنساني والقانون الدولي لحقوق الإنسان ارتكبتها قوات الدعم السريع باستخدام أسلحة فرنسية وقذائف هاون بلغارية الصنع، حصلت عليها بطرق غير مشروعة بعد تحويل مسارها. وتُظهر هذه الحالة كيف يمكن أن يؤدي غياب الشفافية إلى عواقب إنسانية وخيمة</w:t>
      </w:r>
      <w:r w:rsidRPr="0078488A">
        <w:rPr>
          <w:rFonts w:ascii="Dubai" w:eastAsia="Times New Roman" w:hAnsi="Dubai" w:cs="Dubai"/>
          <w:sz w:val="26"/>
          <w:szCs w:val="26"/>
        </w:rPr>
        <w:t>.</w:t>
      </w:r>
    </w:p>
    <w:p w14:paraId="5A9451E2" w14:textId="77777777" w:rsidR="0078488A" w:rsidRPr="0078488A" w:rsidRDefault="0078488A" w:rsidP="0078488A">
      <w:pPr>
        <w:bidi/>
        <w:jc w:val="lowKashida"/>
        <w:rPr>
          <w:rFonts w:ascii="Dubai" w:eastAsia="Times New Roman" w:hAnsi="Dubai" w:cs="Dubai"/>
          <w:sz w:val="26"/>
          <w:szCs w:val="26"/>
        </w:rPr>
      </w:pPr>
      <w:r w:rsidRPr="0078488A">
        <w:rPr>
          <w:rFonts w:ascii="Dubai" w:eastAsia="Times New Roman" w:hAnsi="Dubai" w:cs="Dubai"/>
          <w:sz w:val="26"/>
          <w:szCs w:val="26"/>
          <w:rtl/>
        </w:rPr>
        <w:t>وعلاوة على ذلك، تلاحظ مؤسسة ماعت وجود نقص كبير في المعلومات التي تنشرها الدول بشأن تقييمها لمخاطر تصدير الأسلحة، إذ لا تُتاح إلا بيانات محدودة للغاية حول هذا الجانب الجوهري من عملية اتخاذ القرار</w:t>
      </w:r>
      <w:r w:rsidRPr="0078488A">
        <w:rPr>
          <w:rFonts w:ascii="Dubai" w:eastAsia="Times New Roman" w:hAnsi="Dubai" w:cs="Dubai"/>
          <w:sz w:val="26"/>
          <w:szCs w:val="26"/>
        </w:rPr>
        <w:t>.</w:t>
      </w:r>
    </w:p>
    <w:p w14:paraId="07163428" w14:textId="1CCD9B3B" w:rsidR="0078488A" w:rsidRPr="0078488A" w:rsidRDefault="0078488A" w:rsidP="0078488A">
      <w:pPr>
        <w:bidi/>
        <w:jc w:val="lowKashida"/>
        <w:rPr>
          <w:rFonts w:ascii="Dubai" w:eastAsia="Times New Roman" w:hAnsi="Dubai" w:cs="Dubai"/>
          <w:sz w:val="26"/>
          <w:szCs w:val="26"/>
        </w:rPr>
      </w:pPr>
      <w:r w:rsidRPr="0078488A">
        <w:rPr>
          <w:rFonts w:ascii="Dubai" w:eastAsia="Times New Roman" w:hAnsi="Dubai" w:cs="Dubai"/>
          <w:sz w:val="26"/>
          <w:szCs w:val="26"/>
          <w:rtl/>
        </w:rPr>
        <w:t>وبناء عليه، توصي مؤسسة ماعت</w:t>
      </w:r>
      <w:r>
        <w:rPr>
          <w:rFonts w:ascii="Dubai" w:eastAsia="Times New Roman" w:hAnsi="Dubai" w:cs="Dubai" w:hint="cs"/>
          <w:sz w:val="26"/>
          <w:szCs w:val="26"/>
          <w:rtl/>
        </w:rPr>
        <w:t xml:space="preserve"> بـ</w:t>
      </w:r>
      <w:r w:rsidRPr="0078488A">
        <w:rPr>
          <w:rFonts w:ascii="Dubai" w:eastAsia="Times New Roman" w:hAnsi="Dubai" w:cs="Dubai"/>
          <w:sz w:val="26"/>
          <w:szCs w:val="26"/>
        </w:rPr>
        <w:t>:</w:t>
      </w:r>
    </w:p>
    <w:p w14:paraId="79DB88F7" w14:textId="77777777" w:rsidR="0078488A" w:rsidRPr="0078488A" w:rsidRDefault="0078488A" w:rsidP="0078488A">
      <w:pPr>
        <w:numPr>
          <w:ilvl w:val="0"/>
          <w:numId w:val="4"/>
        </w:numPr>
        <w:bidi/>
        <w:jc w:val="lowKashida"/>
        <w:rPr>
          <w:rFonts w:ascii="Dubai" w:eastAsia="Times New Roman" w:hAnsi="Dubai" w:cs="Dubai"/>
          <w:sz w:val="26"/>
          <w:szCs w:val="26"/>
        </w:rPr>
      </w:pPr>
      <w:r w:rsidRPr="0078488A">
        <w:rPr>
          <w:rFonts w:ascii="Dubai" w:eastAsia="Times New Roman" w:hAnsi="Dubai" w:cs="Dubai"/>
          <w:b/>
          <w:bCs/>
          <w:sz w:val="26"/>
          <w:szCs w:val="26"/>
          <w:rtl/>
        </w:rPr>
        <w:t>إنشاء آلية دولية خاصة</w:t>
      </w:r>
      <w:r w:rsidRPr="0078488A">
        <w:rPr>
          <w:rFonts w:ascii="Dubai" w:eastAsia="Times New Roman" w:hAnsi="Dubai" w:cs="Dubai"/>
          <w:sz w:val="26"/>
          <w:szCs w:val="26"/>
          <w:rtl/>
        </w:rPr>
        <w:t xml:space="preserve"> لرصد تدفقات الأسلحة إلى أوكرانيا، تأخذ في الاعتبار حجم الأسلحة المنقولة وأهمية تتبعها لمنع تحويل وجهتها بعد انتهاء النزاع</w:t>
      </w:r>
      <w:r w:rsidRPr="0078488A">
        <w:rPr>
          <w:rFonts w:ascii="Dubai" w:eastAsia="Times New Roman" w:hAnsi="Dubai" w:cs="Dubai"/>
          <w:sz w:val="26"/>
          <w:szCs w:val="26"/>
        </w:rPr>
        <w:t>.</w:t>
      </w:r>
    </w:p>
    <w:p w14:paraId="762272E6" w14:textId="77777777" w:rsidR="0078488A" w:rsidRPr="0078488A" w:rsidRDefault="0078488A" w:rsidP="0078488A">
      <w:pPr>
        <w:numPr>
          <w:ilvl w:val="0"/>
          <w:numId w:val="4"/>
        </w:numPr>
        <w:bidi/>
        <w:jc w:val="lowKashida"/>
        <w:rPr>
          <w:rFonts w:ascii="Dubai" w:eastAsia="Times New Roman" w:hAnsi="Dubai" w:cs="Dubai"/>
          <w:sz w:val="26"/>
          <w:szCs w:val="26"/>
        </w:rPr>
      </w:pPr>
      <w:r w:rsidRPr="0078488A">
        <w:rPr>
          <w:rFonts w:ascii="Dubai" w:eastAsia="Times New Roman" w:hAnsi="Dubai" w:cs="Dubai"/>
          <w:b/>
          <w:bCs/>
          <w:sz w:val="26"/>
          <w:szCs w:val="26"/>
          <w:rtl/>
        </w:rPr>
        <w:t>دعوة الدول الأطراف</w:t>
      </w:r>
      <w:r w:rsidRPr="0078488A">
        <w:rPr>
          <w:rFonts w:ascii="Dubai" w:eastAsia="Times New Roman" w:hAnsi="Dubai" w:cs="Dubai"/>
          <w:sz w:val="26"/>
          <w:szCs w:val="26"/>
          <w:rtl/>
        </w:rPr>
        <w:t xml:space="preserve"> إلى تقديم تقارير سنوية دقيقة وشفافة، تشمل تفاصيل حول طبيعة الأسلحة المنقولة والجهات المستفيدة، مع ضمان إتاحة هذه المعلومات للجمهور</w:t>
      </w:r>
      <w:r w:rsidRPr="0078488A">
        <w:rPr>
          <w:rFonts w:ascii="Dubai" w:eastAsia="Times New Roman" w:hAnsi="Dubai" w:cs="Dubai"/>
          <w:sz w:val="26"/>
          <w:szCs w:val="26"/>
        </w:rPr>
        <w:t>.</w:t>
      </w:r>
    </w:p>
    <w:p w14:paraId="229ED579" w14:textId="77777777" w:rsidR="0078488A" w:rsidRPr="0078488A" w:rsidRDefault="0078488A" w:rsidP="0078488A">
      <w:pPr>
        <w:numPr>
          <w:ilvl w:val="0"/>
          <w:numId w:val="4"/>
        </w:numPr>
        <w:bidi/>
        <w:jc w:val="lowKashida"/>
        <w:rPr>
          <w:rFonts w:ascii="Dubai" w:eastAsia="Times New Roman" w:hAnsi="Dubai" w:cs="Dubai"/>
          <w:sz w:val="26"/>
          <w:szCs w:val="26"/>
        </w:rPr>
      </w:pPr>
      <w:r w:rsidRPr="0078488A">
        <w:rPr>
          <w:rFonts w:ascii="Dubai" w:eastAsia="Times New Roman" w:hAnsi="Dubai" w:cs="Dubai"/>
          <w:b/>
          <w:bCs/>
          <w:sz w:val="26"/>
          <w:szCs w:val="26"/>
          <w:rtl/>
        </w:rPr>
        <w:t>تشجيع الدول على نشر ملخصات غير سرية</w:t>
      </w:r>
      <w:r w:rsidRPr="0078488A">
        <w:rPr>
          <w:rFonts w:ascii="Dubai" w:eastAsia="Times New Roman" w:hAnsi="Dubai" w:cs="Dubai"/>
          <w:sz w:val="26"/>
          <w:szCs w:val="26"/>
          <w:rtl/>
        </w:rPr>
        <w:t xml:space="preserve"> لتقييماتها بشأن مخاطر تصدير الأسلحة، بما يعزز من مستويات الشفافية والمساءلة العامة</w:t>
      </w:r>
      <w:r w:rsidRPr="0078488A">
        <w:rPr>
          <w:rFonts w:ascii="Dubai" w:eastAsia="Times New Roman" w:hAnsi="Dubai" w:cs="Dubai"/>
          <w:sz w:val="26"/>
          <w:szCs w:val="26"/>
        </w:rPr>
        <w:t>.</w:t>
      </w:r>
    </w:p>
    <w:p w14:paraId="4270366F" w14:textId="77777777" w:rsidR="0078488A" w:rsidRPr="0078488A" w:rsidRDefault="0078488A" w:rsidP="0078488A">
      <w:pPr>
        <w:numPr>
          <w:ilvl w:val="0"/>
          <w:numId w:val="4"/>
        </w:numPr>
        <w:bidi/>
        <w:jc w:val="lowKashida"/>
        <w:rPr>
          <w:rFonts w:ascii="Dubai" w:eastAsia="Times New Roman" w:hAnsi="Dubai" w:cs="Dubai"/>
          <w:sz w:val="26"/>
          <w:szCs w:val="26"/>
        </w:rPr>
      </w:pPr>
      <w:r w:rsidRPr="0078488A">
        <w:rPr>
          <w:rFonts w:ascii="Dubai" w:eastAsia="Times New Roman" w:hAnsi="Dubai" w:cs="Dubai"/>
          <w:b/>
          <w:bCs/>
          <w:sz w:val="26"/>
          <w:szCs w:val="26"/>
          <w:rtl/>
        </w:rPr>
        <w:t>دعم بناء القدرات الفنية والمؤسسية</w:t>
      </w:r>
      <w:r w:rsidRPr="0078488A">
        <w:rPr>
          <w:rFonts w:ascii="Dubai" w:eastAsia="Times New Roman" w:hAnsi="Dubai" w:cs="Dubai"/>
          <w:sz w:val="26"/>
          <w:szCs w:val="26"/>
          <w:rtl/>
        </w:rPr>
        <w:t xml:space="preserve"> للدول الأعضاء، لا سيما في الدول النامية، لتطوير آليات تقييم المخاطر وتحسين جودة التقارير المقدمة في إطار المعاهدة</w:t>
      </w:r>
      <w:r w:rsidRPr="0078488A">
        <w:rPr>
          <w:rFonts w:ascii="Dubai" w:eastAsia="Times New Roman" w:hAnsi="Dubai" w:cs="Dubai"/>
          <w:sz w:val="26"/>
          <w:szCs w:val="26"/>
        </w:rPr>
        <w:t>.</w:t>
      </w:r>
    </w:p>
    <w:p w14:paraId="1E470C43" w14:textId="66A453F8" w:rsidR="00296D81" w:rsidRPr="00510BB7" w:rsidRDefault="005A05AC" w:rsidP="005A05AC">
      <w:pPr>
        <w:bidi/>
        <w:jc w:val="lowKashida"/>
        <w:rPr>
          <w:rFonts w:ascii="Dubai" w:eastAsia="Times New Roman" w:hAnsi="Dubai" w:cs="Dubai"/>
          <w:b/>
          <w:bCs/>
          <w:sz w:val="26"/>
          <w:szCs w:val="26"/>
        </w:rPr>
      </w:pPr>
      <w:r w:rsidRPr="00510BB7">
        <w:rPr>
          <w:rFonts w:ascii="Dubai" w:eastAsia="Times New Roman" w:hAnsi="Dubai" w:cs="Dubai" w:hint="cs"/>
          <w:b/>
          <w:bCs/>
          <w:sz w:val="26"/>
          <w:szCs w:val="26"/>
          <w:rtl/>
        </w:rPr>
        <w:t xml:space="preserve">وتؤكد ماعت على </w:t>
      </w:r>
      <w:r w:rsidR="0078488A" w:rsidRPr="0078488A">
        <w:rPr>
          <w:rFonts w:ascii="Dubai" w:eastAsia="Times New Roman" w:hAnsi="Dubai" w:cs="Dubai"/>
          <w:b/>
          <w:bCs/>
          <w:sz w:val="26"/>
          <w:szCs w:val="26"/>
          <w:rtl/>
        </w:rPr>
        <w:t>إن الالتزام الجماعي بتعزيز الشفافية يشكل حجر الزاوية لضمان الفعالية والأثر الحقيقي لمعاهدة تجارة الأسلحة، ولا بد أن تُترجم المبادئ إلى ممارسات ملموسة تحمي الأرواح وتحد من انتهاكات القانون الدولي</w:t>
      </w:r>
      <w:r w:rsidR="0078488A" w:rsidRPr="0078488A">
        <w:rPr>
          <w:rFonts w:ascii="Dubai" w:eastAsia="Times New Roman" w:hAnsi="Dubai" w:cs="Dubai"/>
          <w:b/>
          <w:bCs/>
          <w:sz w:val="26"/>
          <w:szCs w:val="26"/>
        </w:rPr>
        <w:t>.</w:t>
      </w:r>
    </w:p>
    <w:sectPr w:rsidR="00296D81" w:rsidRPr="00510BB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B6545" w14:textId="77777777" w:rsidR="000559B4" w:rsidRDefault="000559B4" w:rsidP="00DF2277">
      <w:pPr>
        <w:spacing w:before="0" w:after="0"/>
      </w:pPr>
      <w:r>
        <w:separator/>
      </w:r>
    </w:p>
  </w:endnote>
  <w:endnote w:type="continuationSeparator" w:id="0">
    <w:p w14:paraId="32ED2FC7" w14:textId="77777777" w:rsidR="000559B4" w:rsidRDefault="000559B4"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CF9EB" w14:textId="77777777" w:rsidR="000559B4" w:rsidRDefault="000559B4" w:rsidP="00DF2277">
      <w:pPr>
        <w:spacing w:before="0" w:after="0"/>
      </w:pPr>
      <w:r>
        <w:separator/>
      </w:r>
    </w:p>
  </w:footnote>
  <w:footnote w:type="continuationSeparator" w:id="0">
    <w:p w14:paraId="0B5857F5" w14:textId="77777777" w:rsidR="000559B4" w:rsidRDefault="000559B4"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2616" w14:textId="5435AD58" w:rsidR="00DF2277" w:rsidRPr="00DF2277" w:rsidRDefault="00DF2277" w:rsidP="00DF2277">
    <w:pPr>
      <w:pStyle w:val="Header"/>
    </w:pPr>
    <w:r>
      <w:rPr>
        <w:noProof/>
      </w:rPr>
      <w:drawing>
        <wp:inline distT="0" distB="0" distL="0" distR="0" wp14:anchorId="2A47EB80" wp14:editId="242261DF">
          <wp:extent cx="1231680" cy="1071245"/>
          <wp:effectExtent l="0" t="0" r="635" b="0"/>
          <wp:docPr id="28" name="Picture 1" descr="maat pe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maat peace"/>
                  <pic:cNvPicPr>
                    <a:picLocks noChangeAspect="1" noChangeArrowheads="1"/>
                  </pic:cNvPicPr>
                </pic:nvPicPr>
                <pic:blipFill>
                  <a:blip r:embed="rId1" cstate="print"/>
                  <a:srcRect/>
                  <a:stretch>
                    <a:fillRect/>
                  </a:stretch>
                </pic:blipFill>
                <pic:spPr bwMode="auto">
                  <a:xfrm>
                    <a:off x="0" y="0"/>
                    <a:ext cx="1265338" cy="1100519"/>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EC53E0"/>
    <w:multiLevelType w:val="multilevel"/>
    <w:tmpl w:val="E7AEA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3"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06"/>
    <w:rsid w:val="0002260A"/>
    <w:rsid w:val="000358C2"/>
    <w:rsid w:val="000559B4"/>
    <w:rsid w:val="00095C6B"/>
    <w:rsid w:val="000B0BDF"/>
    <w:rsid w:val="000E02F9"/>
    <w:rsid w:val="000F789A"/>
    <w:rsid w:val="00100326"/>
    <w:rsid w:val="00103273"/>
    <w:rsid w:val="00121569"/>
    <w:rsid w:val="0016713B"/>
    <w:rsid w:val="00185812"/>
    <w:rsid w:val="001A1D19"/>
    <w:rsid w:val="001A5612"/>
    <w:rsid w:val="001B6008"/>
    <w:rsid w:val="001F0BE9"/>
    <w:rsid w:val="00214B98"/>
    <w:rsid w:val="002411D5"/>
    <w:rsid w:val="002569EC"/>
    <w:rsid w:val="00276D48"/>
    <w:rsid w:val="00296D81"/>
    <w:rsid w:val="002B100F"/>
    <w:rsid w:val="002D3546"/>
    <w:rsid w:val="00316EF5"/>
    <w:rsid w:val="00325857"/>
    <w:rsid w:val="00344CF2"/>
    <w:rsid w:val="00361FA9"/>
    <w:rsid w:val="0038764B"/>
    <w:rsid w:val="0039528E"/>
    <w:rsid w:val="003A3AFD"/>
    <w:rsid w:val="00430EBC"/>
    <w:rsid w:val="004312FA"/>
    <w:rsid w:val="00452C06"/>
    <w:rsid w:val="004667C0"/>
    <w:rsid w:val="004B4006"/>
    <w:rsid w:val="004F5686"/>
    <w:rsid w:val="00510BB7"/>
    <w:rsid w:val="00544C20"/>
    <w:rsid w:val="00592658"/>
    <w:rsid w:val="005A05AC"/>
    <w:rsid w:val="005C568E"/>
    <w:rsid w:val="005D53C4"/>
    <w:rsid w:val="005E479C"/>
    <w:rsid w:val="005E7B8B"/>
    <w:rsid w:val="005F281C"/>
    <w:rsid w:val="0061467F"/>
    <w:rsid w:val="00615403"/>
    <w:rsid w:val="006412DE"/>
    <w:rsid w:val="006F2664"/>
    <w:rsid w:val="007469BF"/>
    <w:rsid w:val="00755A7D"/>
    <w:rsid w:val="0078488A"/>
    <w:rsid w:val="00785295"/>
    <w:rsid w:val="007979F5"/>
    <w:rsid w:val="007A1D3B"/>
    <w:rsid w:val="007C1DE3"/>
    <w:rsid w:val="00801EFE"/>
    <w:rsid w:val="00817544"/>
    <w:rsid w:val="00841DC6"/>
    <w:rsid w:val="008957E1"/>
    <w:rsid w:val="008A3FA7"/>
    <w:rsid w:val="008C4998"/>
    <w:rsid w:val="008E175D"/>
    <w:rsid w:val="00900E2D"/>
    <w:rsid w:val="009064D8"/>
    <w:rsid w:val="009152BE"/>
    <w:rsid w:val="00934F75"/>
    <w:rsid w:val="0094308D"/>
    <w:rsid w:val="009653BC"/>
    <w:rsid w:val="009911E7"/>
    <w:rsid w:val="00A0701F"/>
    <w:rsid w:val="00A12B74"/>
    <w:rsid w:val="00A53993"/>
    <w:rsid w:val="00A55994"/>
    <w:rsid w:val="00A91728"/>
    <w:rsid w:val="00AB4536"/>
    <w:rsid w:val="00AB7EC9"/>
    <w:rsid w:val="00AD19C8"/>
    <w:rsid w:val="00AF32B2"/>
    <w:rsid w:val="00B21E4B"/>
    <w:rsid w:val="00B3086D"/>
    <w:rsid w:val="00B52855"/>
    <w:rsid w:val="00B57B22"/>
    <w:rsid w:val="00B94F32"/>
    <w:rsid w:val="00BB0897"/>
    <w:rsid w:val="00C37AA8"/>
    <w:rsid w:val="00D01A3D"/>
    <w:rsid w:val="00D26CD8"/>
    <w:rsid w:val="00D63F09"/>
    <w:rsid w:val="00D673C1"/>
    <w:rsid w:val="00D8029C"/>
    <w:rsid w:val="00DC03BE"/>
    <w:rsid w:val="00DC4FBD"/>
    <w:rsid w:val="00DE137A"/>
    <w:rsid w:val="00DE4C50"/>
    <w:rsid w:val="00DF2277"/>
    <w:rsid w:val="00DF6750"/>
    <w:rsid w:val="00E00AC9"/>
    <w:rsid w:val="00E05DE5"/>
    <w:rsid w:val="00E3332F"/>
    <w:rsid w:val="00E452CB"/>
    <w:rsid w:val="00EA1B8C"/>
    <w:rsid w:val="00ED5F2D"/>
    <w:rsid w:val="00EE1B78"/>
    <w:rsid w:val="00EE62DD"/>
    <w:rsid w:val="00F05A63"/>
    <w:rsid w:val="00F0713A"/>
    <w:rsid w:val="00F27508"/>
    <w:rsid w:val="00F56F47"/>
    <w:rsid w:val="00F83FFD"/>
    <w:rsid w:val="00FA37D6"/>
    <w:rsid w:val="00FA46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2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styleId="UnresolvedMention">
    <w:name w:val="Unresolved Mention"/>
    <w:basedOn w:val="DefaultParagraphFont"/>
    <w:uiPriority w:val="99"/>
    <w:semiHidden/>
    <w:unhideWhenUsed/>
    <w:rsid w:val="00C37AA8"/>
    <w:rPr>
      <w:color w:val="605E5C"/>
      <w:shd w:val="clear" w:color="auto" w:fill="E1DFDD"/>
    </w:rPr>
  </w:style>
  <w:style w:type="paragraph" w:styleId="NormalWeb">
    <w:name w:val="Normal (Web)"/>
    <w:basedOn w:val="Normal"/>
    <w:uiPriority w:val="99"/>
    <w:semiHidden/>
    <w:unhideWhenUsed/>
    <w:rsid w:val="00F56F47"/>
    <w:rPr>
      <w:rFonts w:ascii="Times New Roman" w:eastAsia="Times New Roman" w:hAnsi="Times New Roman" w:cs="Times New Roman"/>
      <w:sz w:val="24"/>
      <w:szCs w:val="24"/>
      <w:lang/>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7848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143356407">
      <w:bodyDiv w:val="1"/>
      <w:marLeft w:val="0"/>
      <w:marRight w:val="0"/>
      <w:marTop w:val="0"/>
      <w:marBottom w:val="0"/>
      <w:divBdr>
        <w:top w:val="none" w:sz="0" w:space="0" w:color="auto"/>
        <w:left w:val="none" w:sz="0" w:space="0" w:color="auto"/>
        <w:bottom w:val="none" w:sz="0" w:space="0" w:color="auto"/>
        <w:right w:val="none" w:sz="0" w:space="0" w:color="auto"/>
      </w:divBdr>
      <w:divsChild>
        <w:div w:id="957104870">
          <w:marLeft w:val="0"/>
          <w:marRight w:val="0"/>
          <w:marTop w:val="0"/>
          <w:marBottom w:val="0"/>
          <w:divBdr>
            <w:top w:val="none" w:sz="0" w:space="0" w:color="auto"/>
            <w:left w:val="none" w:sz="0" w:space="0" w:color="auto"/>
            <w:bottom w:val="none" w:sz="0" w:space="0" w:color="auto"/>
            <w:right w:val="none" w:sz="0" w:space="0" w:color="auto"/>
          </w:divBdr>
          <w:divsChild>
            <w:div w:id="99372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73347966">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965042941">
      <w:bodyDiv w:val="1"/>
      <w:marLeft w:val="0"/>
      <w:marRight w:val="0"/>
      <w:marTop w:val="0"/>
      <w:marBottom w:val="0"/>
      <w:divBdr>
        <w:top w:val="none" w:sz="0" w:space="0" w:color="auto"/>
        <w:left w:val="none" w:sz="0" w:space="0" w:color="auto"/>
        <w:bottom w:val="none" w:sz="0" w:space="0" w:color="auto"/>
        <w:right w:val="none" w:sz="0" w:space="0" w:color="auto"/>
      </w:divBdr>
      <w:divsChild>
        <w:div w:id="538393178">
          <w:marLeft w:val="0"/>
          <w:marRight w:val="0"/>
          <w:marTop w:val="0"/>
          <w:marBottom w:val="0"/>
          <w:divBdr>
            <w:top w:val="none" w:sz="0" w:space="0" w:color="auto"/>
            <w:left w:val="none" w:sz="0" w:space="0" w:color="auto"/>
            <w:bottom w:val="none" w:sz="0" w:space="0" w:color="auto"/>
            <w:right w:val="none" w:sz="0" w:space="0" w:color="auto"/>
          </w:divBdr>
          <w:divsChild>
            <w:div w:id="1019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2</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sheko abdo</cp:lastModifiedBy>
  <cp:revision>68</cp:revision>
  <dcterms:created xsi:type="dcterms:W3CDTF">2024-01-31T22:23:00Z</dcterms:created>
  <dcterms:modified xsi:type="dcterms:W3CDTF">2025-05-12T14:09:00Z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