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BA5B" w14:textId="5735ED67" w:rsidR="00AE2013" w:rsidRDefault="00AE2013" w:rsidP="00AE2013">
      <w:pPr>
        <w:bidi/>
        <w:jc w:val="center"/>
        <w:rPr>
          <w:rFonts w:ascii="Dubai" w:eastAsia="Times New Roman" w:hAnsi="Dubai" w:cs="Dubai"/>
          <w:b/>
          <w:bCs/>
          <w:sz w:val="26"/>
          <w:szCs w:val="26"/>
          <w:rtl/>
        </w:rPr>
      </w:pPr>
      <w:r w:rsidRPr="00AE2013">
        <w:rPr>
          <w:rFonts w:ascii="Dubai" w:eastAsia="Times New Roman" w:hAnsi="Dubai" w:cs="Dubai"/>
          <w:b/>
          <w:bCs/>
          <w:color w:val="3333FF"/>
          <w:sz w:val="30"/>
          <w:szCs w:val="30"/>
          <w:rtl/>
        </w:rPr>
        <w:t>المداخلة الأولى: أهمية تعيين نقاط اتصال للمساواة بين الجنسين في إطار معاهدة تجارة الأسلحة</w:t>
      </w:r>
    </w:p>
    <w:p w14:paraId="20BC4807" w14:textId="6537B6CD" w:rsidR="00AE2013" w:rsidRPr="00AE2013" w:rsidRDefault="00AE2013" w:rsidP="00AE2013">
      <w:pPr>
        <w:bidi/>
        <w:rPr>
          <w:rFonts w:ascii="Dubai" w:eastAsia="Times New Roman" w:hAnsi="Dubai" w:cs="Dubai"/>
          <w:b/>
          <w:bCs/>
          <w:color w:val="3333FF"/>
          <w:sz w:val="30"/>
          <w:szCs w:val="30"/>
        </w:rPr>
      </w:pPr>
      <w:r w:rsidRPr="00AE2013">
        <w:rPr>
          <w:rFonts w:ascii="Dubai" w:eastAsia="Times New Roman" w:hAnsi="Dubai" w:cs="Dubai"/>
          <w:b/>
          <w:bCs/>
          <w:sz w:val="26"/>
          <w:szCs w:val="26"/>
          <w:rtl/>
        </w:rPr>
        <w:t>مقدمة إلى الفريق العامل المعني بالتنفيذ الفعال للمعاهدة</w:t>
      </w:r>
    </w:p>
    <w:p w14:paraId="72240038" w14:textId="6C6B6045" w:rsidR="00AE2013" w:rsidRPr="00AE2013" w:rsidRDefault="00AE2013" w:rsidP="00AE2013">
      <w:pPr>
        <w:bidi/>
        <w:jc w:val="lowKashida"/>
        <w:rPr>
          <w:rFonts w:ascii="Dubai" w:eastAsia="Times New Roman" w:hAnsi="Dubai" w:cs="Dubai"/>
          <w:b/>
          <w:bCs/>
          <w:sz w:val="26"/>
          <w:szCs w:val="26"/>
        </w:rPr>
      </w:pPr>
      <w:r w:rsidRPr="00AE2013">
        <w:rPr>
          <w:rFonts w:ascii="Dubai" w:eastAsia="Times New Roman" w:hAnsi="Dubai" w:cs="Dubai"/>
          <w:b/>
          <w:bCs/>
          <w:sz w:val="26"/>
          <w:szCs w:val="26"/>
          <w:rtl/>
        </w:rPr>
        <w:t>شكرًا سيدي الميسّر</w:t>
      </w:r>
      <w:r w:rsidRPr="00AE2013">
        <w:rPr>
          <w:rFonts w:ascii="Dubai" w:eastAsia="Times New Roman" w:hAnsi="Dubai" w:cs="Dubai"/>
          <w:b/>
          <w:bCs/>
          <w:sz w:val="26"/>
          <w:szCs w:val="26"/>
        </w:rPr>
        <w:t>.</w:t>
      </w:r>
    </w:p>
    <w:p w14:paraId="6A294FB7" w14:textId="77777777" w:rsidR="00AE2013" w:rsidRPr="00AE2013" w:rsidRDefault="00AE2013" w:rsidP="00AE2013">
      <w:pPr>
        <w:bidi/>
        <w:jc w:val="lowKashida"/>
        <w:rPr>
          <w:rFonts w:ascii="Dubai" w:eastAsia="Times New Roman" w:hAnsi="Dubai" w:cs="Dubai"/>
          <w:sz w:val="26"/>
          <w:szCs w:val="26"/>
        </w:rPr>
      </w:pPr>
      <w:r w:rsidRPr="00AE2013">
        <w:rPr>
          <w:rFonts w:ascii="Dubai" w:eastAsia="Times New Roman" w:hAnsi="Dubai" w:cs="Dubai"/>
          <w:sz w:val="26"/>
          <w:szCs w:val="26"/>
          <w:rtl/>
        </w:rPr>
        <w:t>لقد أثبتت التجارب الميدانية أن تجارة الأسلحة غير المسؤولة تساهم بشكل مباشر في تغذية العنف القائم على النوع الاجتماعي، لا سيما ضد النساء والفتيات، في سياقات النزاعات المسلحة والمجتمعات المتأثرة بانعدام الأمن. ففي العديد من البلدان، يواجه المدنيون، وخاصة النساء، مستويات مروعة من العنف الجنسي المرتبط بالنزاع، تفاقمت بفعل التدفق غير المنضبط للأسلحة إلى الجماعات المسلحة والجهات غير الحكومية والأنظمة المنتهكة لحقوق الإنسان</w:t>
      </w:r>
      <w:r w:rsidRPr="00AE2013">
        <w:rPr>
          <w:rFonts w:ascii="Dubai" w:eastAsia="Times New Roman" w:hAnsi="Dubai" w:cs="Dubai"/>
          <w:sz w:val="26"/>
          <w:szCs w:val="26"/>
        </w:rPr>
        <w:t>.</w:t>
      </w:r>
    </w:p>
    <w:p w14:paraId="4DE4048F" w14:textId="77777777" w:rsidR="00AE2013" w:rsidRPr="00AE2013" w:rsidRDefault="00AE2013" w:rsidP="00AE2013">
      <w:pPr>
        <w:bidi/>
        <w:jc w:val="lowKashida"/>
        <w:rPr>
          <w:rFonts w:ascii="Dubai" w:eastAsia="Times New Roman" w:hAnsi="Dubai" w:cs="Dubai"/>
          <w:sz w:val="26"/>
          <w:szCs w:val="26"/>
        </w:rPr>
      </w:pPr>
      <w:r w:rsidRPr="00AE2013">
        <w:rPr>
          <w:rFonts w:ascii="Dubai" w:eastAsia="Times New Roman" w:hAnsi="Dubai" w:cs="Dubai"/>
          <w:sz w:val="26"/>
          <w:szCs w:val="26"/>
          <w:rtl/>
        </w:rPr>
        <w:t>وتبرز الحالة في السودان كمثال صارخ على هذا الواقع، حيث أدى نقل الأسلحة إلى قوات الدعم السريع إلى استمرار النزاع المسلح في مختلف أنحاء البلاد منذ أبريل 2023، وأسهم ذلك في تصاعد مقلق لحالات الاغتصاب الجماعي والعنف الجنسي ضد النساء والفتيات، ما أدى إلى مآسٍ إنسانية بالغة، بما في ذلك حالات انتحار مرتبطة بالوصم الاجتماعي والخوف من العار</w:t>
      </w:r>
      <w:r w:rsidRPr="00AE2013">
        <w:rPr>
          <w:rFonts w:ascii="Dubai" w:eastAsia="Times New Roman" w:hAnsi="Dubai" w:cs="Dubai"/>
          <w:sz w:val="26"/>
          <w:szCs w:val="26"/>
        </w:rPr>
        <w:t>.</w:t>
      </w:r>
    </w:p>
    <w:p w14:paraId="3F8FBD10" w14:textId="77777777" w:rsidR="00AE2013" w:rsidRPr="00AE2013" w:rsidRDefault="00AE2013" w:rsidP="00AE2013">
      <w:pPr>
        <w:bidi/>
        <w:jc w:val="lowKashida"/>
        <w:rPr>
          <w:rFonts w:ascii="Dubai" w:eastAsia="Times New Roman" w:hAnsi="Dubai" w:cs="Dubai"/>
          <w:sz w:val="26"/>
          <w:szCs w:val="26"/>
        </w:rPr>
      </w:pPr>
      <w:r w:rsidRPr="00AE2013">
        <w:rPr>
          <w:rFonts w:ascii="Dubai" w:eastAsia="Times New Roman" w:hAnsi="Dubai" w:cs="Dubai"/>
          <w:sz w:val="26"/>
          <w:szCs w:val="26"/>
          <w:rtl/>
        </w:rPr>
        <w:t xml:space="preserve">إن هذه الانتهاكات تؤكد أهمية التنفيذ الفعّال لأحكام </w:t>
      </w:r>
      <w:r w:rsidRPr="00AE2013">
        <w:rPr>
          <w:rFonts w:ascii="Dubai" w:eastAsia="Times New Roman" w:hAnsi="Dubai" w:cs="Dubai"/>
          <w:b/>
          <w:bCs/>
          <w:sz w:val="26"/>
          <w:szCs w:val="26"/>
          <w:rtl/>
        </w:rPr>
        <w:t>المادة 7، الفقرة 4</w:t>
      </w:r>
      <w:r w:rsidRPr="00AE2013">
        <w:rPr>
          <w:rFonts w:ascii="Dubai" w:eastAsia="Times New Roman" w:hAnsi="Dubai" w:cs="Dubai"/>
          <w:sz w:val="26"/>
          <w:szCs w:val="26"/>
          <w:rtl/>
        </w:rPr>
        <w:t xml:space="preserve"> من معاهدة تجارة الأسلحة، والمتعلقة بضرورة تقييم مخاطر استخدام الأسلحة في ارتكاب أعمال عنف قائم على النوع الاجتماعي. إن التقييم الدقيق لهذه المخاطر هو خطوة أساسية في منع عمليات نقل الأسلحة التي قد تُسهم في تفاقم هذه الانتهاكات أو تيسير ارتكابها</w:t>
      </w:r>
      <w:r w:rsidRPr="00AE2013">
        <w:rPr>
          <w:rFonts w:ascii="Dubai" w:eastAsia="Times New Roman" w:hAnsi="Dubai" w:cs="Dubai"/>
          <w:sz w:val="26"/>
          <w:szCs w:val="26"/>
        </w:rPr>
        <w:t>.</w:t>
      </w:r>
    </w:p>
    <w:p w14:paraId="0854E3DC" w14:textId="4AE17909" w:rsidR="00AE2013" w:rsidRPr="00AE2013" w:rsidRDefault="00AE2013" w:rsidP="00AE2013">
      <w:pPr>
        <w:bidi/>
        <w:jc w:val="lowKashida"/>
        <w:rPr>
          <w:rFonts w:ascii="Dubai" w:eastAsia="Times New Roman" w:hAnsi="Dubai" w:cs="Dubai"/>
          <w:sz w:val="26"/>
          <w:szCs w:val="26"/>
        </w:rPr>
      </w:pPr>
      <w:r w:rsidRPr="00AE2013">
        <w:rPr>
          <w:rFonts w:ascii="Dubai" w:eastAsia="Times New Roman" w:hAnsi="Dubai" w:cs="Dubai"/>
          <w:sz w:val="26"/>
          <w:szCs w:val="26"/>
          <w:rtl/>
        </w:rPr>
        <w:t xml:space="preserve">وفي هذا الإطار، تعرب مؤسسة ماعت عن دعمها الكامل لمقترحات عدد من الدول الأطراف بشأن </w:t>
      </w:r>
      <w:r w:rsidRPr="00AE2013">
        <w:rPr>
          <w:rFonts w:ascii="Dubai" w:eastAsia="Times New Roman" w:hAnsi="Dubai" w:cs="Dubai"/>
          <w:b/>
          <w:bCs/>
          <w:sz w:val="26"/>
          <w:szCs w:val="26"/>
          <w:rtl/>
        </w:rPr>
        <w:t>تعيين جهات تنسيق أو نقاط اتصال وطنية معنية بالمساواة بين الجنسين</w:t>
      </w:r>
      <w:r w:rsidRPr="00AE2013">
        <w:rPr>
          <w:rFonts w:ascii="Dubai" w:eastAsia="Times New Roman" w:hAnsi="Dubai" w:cs="Dubai"/>
          <w:sz w:val="26"/>
          <w:szCs w:val="26"/>
          <w:rtl/>
        </w:rPr>
        <w:t xml:space="preserve"> ضمن آلية تنفيذ المعاهدة. ونقترح أن تضطلع هذه النقاط بالمهام التالية</w:t>
      </w:r>
      <w:r w:rsidRPr="00AE2013">
        <w:rPr>
          <w:rFonts w:ascii="Dubai" w:eastAsia="Times New Roman" w:hAnsi="Dubai" w:cs="Dubai"/>
          <w:sz w:val="26"/>
          <w:szCs w:val="26"/>
        </w:rPr>
        <w:t>:</w:t>
      </w:r>
    </w:p>
    <w:p w14:paraId="3BB6289E" w14:textId="77777777" w:rsidR="00AE2013" w:rsidRPr="00AE2013" w:rsidRDefault="00AE2013" w:rsidP="00AE2013">
      <w:pPr>
        <w:numPr>
          <w:ilvl w:val="0"/>
          <w:numId w:val="4"/>
        </w:numPr>
        <w:bidi/>
        <w:jc w:val="lowKashida"/>
        <w:rPr>
          <w:rFonts w:ascii="Dubai" w:eastAsia="Times New Roman" w:hAnsi="Dubai" w:cs="Dubai"/>
          <w:sz w:val="26"/>
          <w:szCs w:val="26"/>
        </w:rPr>
      </w:pPr>
      <w:r w:rsidRPr="00AE2013">
        <w:rPr>
          <w:rFonts w:ascii="Dubai" w:eastAsia="Times New Roman" w:hAnsi="Dubai" w:cs="Dubai"/>
          <w:b/>
          <w:bCs/>
          <w:sz w:val="26"/>
          <w:szCs w:val="26"/>
          <w:rtl/>
        </w:rPr>
        <w:lastRenderedPageBreak/>
        <w:t>دمج المنظور الجنساني بفعالية</w:t>
      </w:r>
      <w:r w:rsidRPr="00AE2013">
        <w:rPr>
          <w:rFonts w:ascii="Dubai" w:eastAsia="Times New Roman" w:hAnsi="Dubai" w:cs="Dubai"/>
          <w:sz w:val="26"/>
          <w:szCs w:val="26"/>
          <w:rtl/>
        </w:rPr>
        <w:t xml:space="preserve"> في سياسات تقييم مخاطر نقل الأسلحة، بما يتماشى مع المادة 7</w:t>
      </w:r>
      <w:r w:rsidRPr="00AE2013">
        <w:rPr>
          <w:rFonts w:ascii="Dubai" w:eastAsia="Times New Roman" w:hAnsi="Dubai" w:cs="Dubai"/>
          <w:sz w:val="26"/>
          <w:szCs w:val="26"/>
        </w:rPr>
        <w:t>(4).</w:t>
      </w:r>
    </w:p>
    <w:p w14:paraId="564109FE" w14:textId="77777777" w:rsidR="00AE2013" w:rsidRPr="00AE2013" w:rsidRDefault="00AE2013" w:rsidP="00AE2013">
      <w:pPr>
        <w:numPr>
          <w:ilvl w:val="0"/>
          <w:numId w:val="4"/>
        </w:numPr>
        <w:bidi/>
        <w:jc w:val="lowKashida"/>
        <w:rPr>
          <w:rFonts w:ascii="Dubai" w:eastAsia="Times New Roman" w:hAnsi="Dubai" w:cs="Dubai"/>
          <w:sz w:val="26"/>
          <w:szCs w:val="26"/>
        </w:rPr>
      </w:pPr>
      <w:r w:rsidRPr="00AE2013">
        <w:rPr>
          <w:rFonts w:ascii="Dubai" w:eastAsia="Times New Roman" w:hAnsi="Dubai" w:cs="Dubai"/>
          <w:b/>
          <w:bCs/>
          <w:sz w:val="26"/>
          <w:szCs w:val="26"/>
          <w:rtl/>
        </w:rPr>
        <w:t>تقديم التوجيه وبناء القدرات</w:t>
      </w:r>
      <w:r w:rsidRPr="00AE2013">
        <w:rPr>
          <w:rFonts w:ascii="Dubai" w:eastAsia="Times New Roman" w:hAnsi="Dubai" w:cs="Dubai"/>
          <w:sz w:val="26"/>
          <w:szCs w:val="26"/>
          <w:rtl/>
        </w:rPr>
        <w:t xml:space="preserve"> للمسؤولين الحكوميين، ولا سيما العاملين في سلطات الترخيص، لضمان فهم شامل للعنف القائم على النوع الاجتماعي وآثاره في سياق تجارة الأسلحة</w:t>
      </w:r>
      <w:r w:rsidRPr="00AE2013">
        <w:rPr>
          <w:rFonts w:ascii="Dubai" w:eastAsia="Times New Roman" w:hAnsi="Dubai" w:cs="Dubai"/>
          <w:sz w:val="26"/>
          <w:szCs w:val="26"/>
        </w:rPr>
        <w:t>.</w:t>
      </w:r>
    </w:p>
    <w:p w14:paraId="182931E3" w14:textId="77777777" w:rsidR="00AE2013" w:rsidRPr="00AE2013" w:rsidRDefault="00AE2013" w:rsidP="00AE2013">
      <w:pPr>
        <w:numPr>
          <w:ilvl w:val="0"/>
          <w:numId w:val="4"/>
        </w:numPr>
        <w:bidi/>
        <w:jc w:val="lowKashida"/>
        <w:rPr>
          <w:rFonts w:ascii="Dubai" w:eastAsia="Times New Roman" w:hAnsi="Dubai" w:cs="Dubai"/>
          <w:sz w:val="26"/>
          <w:szCs w:val="26"/>
        </w:rPr>
      </w:pPr>
      <w:r w:rsidRPr="00AE2013">
        <w:rPr>
          <w:rFonts w:ascii="Dubai" w:eastAsia="Times New Roman" w:hAnsi="Dubai" w:cs="Dubai"/>
          <w:b/>
          <w:bCs/>
          <w:sz w:val="26"/>
          <w:szCs w:val="26"/>
          <w:rtl/>
        </w:rPr>
        <w:t>دعم جمع وتحليل البيانات المصنفة حسب الجنس</w:t>
      </w:r>
      <w:r w:rsidRPr="00AE2013">
        <w:rPr>
          <w:rFonts w:ascii="Dubai" w:eastAsia="Times New Roman" w:hAnsi="Dubai" w:cs="Dubai"/>
          <w:sz w:val="26"/>
          <w:szCs w:val="26"/>
          <w:rtl/>
        </w:rPr>
        <w:t>، بما في ذلك المعلومات المتعلقة بانتشار الأسلحة وأثرها على النساء والفتيات، مع تعزيز استخدام هذه البيانات في صنع السياسات</w:t>
      </w:r>
      <w:r w:rsidRPr="00AE2013">
        <w:rPr>
          <w:rFonts w:ascii="Dubai" w:eastAsia="Times New Roman" w:hAnsi="Dubai" w:cs="Dubai"/>
          <w:sz w:val="26"/>
          <w:szCs w:val="26"/>
        </w:rPr>
        <w:t>.</w:t>
      </w:r>
    </w:p>
    <w:p w14:paraId="7F6B986B" w14:textId="77777777" w:rsidR="00AE2013" w:rsidRPr="00AE2013" w:rsidRDefault="00AE2013" w:rsidP="00AE2013">
      <w:pPr>
        <w:numPr>
          <w:ilvl w:val="0"/>
          <w:numId w:val="4"/>
        </w:numPr>
        <w:bidi/>
        <w:jc w:val="lowKashida"/>
        <w:rPr>
          <w:rFonts w:ascii="Dubai" w:eastAsia="Times New Roman" w:hAnsi="Dubai" w:cs="Dubai"/>
          <w:sz w:val="26"/>
          <w:szCs w:val="26"/>
        </w:rPr>
      </w:pPr>
      <w:r w:rsidRPr="00AE2013">
        <w:rPr>
          <w:rFonts w:ascii="Dubai" w:eastAsia="Times New Roman" w:hAnsi="Dubai" w:cs="Dubai"/>
          <w:b/>
          <w:bCs/>
          <w:sz w:val="26"/>
          <w:szCs w:val="26"/>
          <w:rtl/>
        </w:rPr>
        <w:t>تطوير أدوات ومبادئ توجيهية</w:t>
      </w:r>
      <w:r w:rsidRPr="00AE2013">
        <w:rPr>
          <w:rFonts w:ascii="Dubai" w:eastAsia="Times New Roman" w:hAnsi="Dubai" w:cs="Dubai"/>
          <w:sz w:val="26"/>
          <w:szCs w:val="26"/>
          <w:rtl/>
        </w:rPr>
        <w:t xml:space="preserve"> تساعد الدول الأطراف على إدماج اعتبارات النوع الاجتماعي في تقييماتها المتعلقة بعمليات نقل الأسلحة</w:t>
      </w:r>
      <w:r w:rsidRPr="00AE2013">
        <w:rPr>
          <w:rFonts w:ascii="Dubai" w:eastAsia="Times New Roman" w:hAnsi="Dubai" w:cs="Dubai"/>
          <w:sz w:val="26"/>
          <w:szCs w:val="26"/>
        </w:rPr>
        <w:t>.</w:t>
      </w:r>
    </w:p>
    <w:p w14:paraId="5DC34199" w14:textId="77777777" w:rsidR="00AE2013" w:rsidRPr="00AE2013" w:rsidRDefault="00AE2013" w:rsidP="00AE2013">
      <w:pPr>
        <w:numPr>
          <w:ilvl w:val="0"/>
          <w:numId w:val="4"/>
        </w:numPr>
        <w:bidi/>
        <w:jc w:val="lowKashida"/>
        <w:rPr>
          <w:rFonts w:ascii="Dubai" w:eastAsia="Times New Roman" w:hAnsi="Dubai" w:cs="Dubai"/>
          <w:sz w:val="26"/>
          <w:szCs w:val="26"/>
        </w:rPr>
      </w:pPr>
      <w:r w:rsidRPr="00AE2013">
        <w:rPr>
          <w:rFonts w:ascii="Dubai" w:eastAsia="Times New Roman" w:hAnsi="Dubai" w:cs="Dubai"/>
          <w:b/>
          <w:bCs/>
          <w:sz w:val="26"/>
          <w:szCs w:val="26"/>
          <w:rtl/>
        </w:rPr>
        <w:t>تعزيز مشاركة المرأة الكاملة والمتساوية</w:t>
      </w:r>
      <w:r w:rsidRPr="00AE2013">
        <w:rPr>
          <w:rFonts w:ascii="Dubai" w:eastAsia="Times New Roman" w:hAnsi="Dubai" w:cs="Dubai"/>
          <w:sz w:val="26"/>
          <w:szCs w:val="26"/>
          <w:rtl/>
        </w:rPr>
        <w:t xml:space="preserve"> في عمليات صنع القرار المتعلقة بالمعاهدة، بما في ذلك ضمن الآليات الوطنية والدولية المعنية</w:t>
      </w:r>
      <w:r w:rsidRPr="00AE2013">
        <w:rPr>
          <w:rFonts w:ascii="Dubai" w:eastAsia="Times New Roman" w:hAnsi="Dubai" w:cs="Dubai"/>
          <w:sz w:val="26"/>
          <w:szCs w:val="26"/>
        </w:rPr>
        <w:t>.</w:t>
      </w:r>
    </w:p>
    <w:p w14:paraId="26B866D2" w14:textId="77777777" w:rsidR="00AE2013" w:rsidRPr="00AE2013" w:rsidRDefault="00AE2013" w:rsidP="00AE2013">
      <w:pPr>
        <w:bidi/>
        <w:jc w:val="lowKashida"/>
        <w:rPr>
          <w:rFonts w:ascii="Dubai" w:eastAsia="Times New Roman" w:hAnsi="Dubai" w:cs="Dubai"/>
          <w:sz w:val="26"/>
          <w:szCs w:val="26"/>
        </w:rPr>
      </w:pPr>
      <w:r w:rsidRPr="00AE2013">
        <w:rPr>
          <w:rFonts w:ascii="Dubai" w:eastAsia="Times New Roman" w:hAnsi="Dubai" w:cs="Dubai"/>
          <w:sz w:val="26"/>
          <w:szCs w:val="26"/>
          <w:rtl/>
        </w:rPr>
        <w:t>كما نرى أن نقاط الاتصال هذه يمكن أن تؤدي دورًا محوريًا كمنصات لتبادل المعلومات وأفضل الممارسات والدروس المستفادة، وتشكيل حلقة وصل بين السلطات الوطنية، والهيئات الأممية، والمجتمع المدني، والمنظمات النسوية، بما يسهم في تعزيز فعالية المعاهدة في الحد من العنف القائم على النوع الاجتماعي</w:t>
      </w:r>
      <w:r w:rsidRPr="00AE2013">
        <w:rPr>
          <w:rFonts w:ascii="Dubai" w:eastAsia="Times New Roman" w:hAnsi="Dubai" w:cs="Dubai"/>
          <w:sz w:val="26"/>
          <w:szCs w:val="26"/>
        </w:rPr>
        <w:t>.</w:t>
      </w:r>
    </w:p>
    <w:p w14:paraId="0B4D50C5" w14:textId="1633C0AE" w:rsidR="00AE2013" w:rsidRPr="00AE2013" w:rsidRDefault="00AE2013" w:rsidP="00AE2013">
      <w:pPr>
        <w:bidi/>
        <w:jc w:val="lowKashida"/>
        <w:rPr>
          <w:rFonts w:ascii="Dubai" w:eastAsia="Times New Roman" w:hAnsi="Dubai" w:cs="Dubai"/>
          <w:sz w:val="26"/>
          <w:szCs w:val="26"/>
        </w:rPr>
      </w:pPr>
      <w:r w:rsidRPr="00AE2013">
        <w:rPr>
          <w:rFonts w:ascii="Dubai" w:eastAsia="Times New Roman" w:hAnsi="Dubai" w:cs="Dubai"/>
          <w:b/>
          <w:bCs/>
          <w:sz w:val="26"/>
          <w:szCs w:val="26"/>
          <w:rtl/>
        </w:rPr>
        <w:t>ختامًا</w:t>
      </w:r>
      <w:r w:rsidRPr="00AE2013">
        <w:rPr>
          <w:rFonts w:ascii="Dubai" w:eastAsia="Times New Roman" w:hAnsi="Dubai" w:cs="Dubai"/>
          <w:sz w:val="26"/>
          <w:szCs w:val="26"/>
          <w:rtl/>
        </w:rPr>
        <w:t xml:space="preserve">، </w:t>
      </w:r>
      <w:r w:rsidR="001F150C">
        <w:rPr>
          <w:rFonts w:ascii="Dubai" w:eastAsia="Times New Roman" w:hAnsi="Dubai" w:cs="Dubai" w:hint="cs"/>
          <w:sz w:val="26"/>
          <w:szCs w:val="26"/>
          <w:rtl/>
        </w:rPr>
        <w:t>ف</w:t>
      </w:r>
      <w:r w:rsidRPr="00AE2013">
        <w:rPr>
          <w:rFonts w:ascii="Dubai" w:eastAsia="Times New Roman" w:hAnsi="Dubai" w:cs="Dubai"/>
          <w:sz w:val="26"/>
          <w:szCs w:val="26"/>
          <w:rtl/>
        </w:rPr>
        <w:t>إن الالتزام بإدماج منظور النوع الاجتماعي في معاهدة تجارة الأسلحة ليس فقط استحقاقًا قانونيًا، بل ضرورة إنسانية تفرضها الوقائع الميدانية والتزاماتنا الأخلاقية تجاه حماية المدنيين في سياقات النزاع</w:t>
      </w:r>
      <w:r w:rsidRPr="00AE2013">
        <w:rPr>
          <w:rFonts w:ascii="Dubai" w:eastAsia="Times New Roman" w:hAnsi="Dubai" w:cs="Dubai"/>
          <w:sz w:val="26"/>
          <w:szCs w:val="26"/>
        </w:rPr>
        <w:t>.</w:t>
      </w:r>
    </w:p>
    <w:p w14:paraId="30205E2C" w14:textId="77777777" w:rsidR="00AE2013" w:rsidRPr="00AE2013" w:rsidRDefault="00AE2013" w:rsidP="00AE2013">
      <w:pPr>
        <w:bidi/>
        <w:jc w:val="lowKashida"/>
        <w:rPr>
          <w:rFonts w:ascii="Dubai" w:eastAsia="Times New Roman" w:hAnsi="Dubai" w:cs="Dubai"/>
          <w:b/>
          <w:bCs/>
          <w:sz w:val="26"/>
          <w:szCs w:val="26"/>
        </w:rPr>
      </w:pPr>
      <w:r w:rsidRPr="00AE2013">
        <w:rPr>
          <w:rFonts w:ascii="Dubai" w:eastAsia="Times New Roman" w:hAnsi="Dubai" w:cs="Dubai"/>
          <w:b/>
          <w:bCs/>
          <w:sz w:val="26"/>
          <w:szCs w:val="26"/>
          <w:rtl/>
        </w:rPr>
        <w:t>شكرًا لكم</w:t>
      </w:r>
      <w:r w:rsidRPr="00AE2013">
        <w:rPr>
          <w:rFonts w:ascii="Dubai" w:eastAsia="Times New Roman" w:hAnsi="Dubai" w:cs="Dubai"/>
          <w:b/>
          <w:bCs/>
          <w:sz w:val="26"/>
          <w:szCs w:val="26"/>
        </w:rPr>
        <w:t>.</w:t>
      </w:r>
    </w:p>
    <w:p w14:paraId="40CA5535" w14:textId="64C99832" w:rsidR="00AE2013" w:rsidRDefault="00AE2013">
      <w:pPr>
        <w:rPr>
          <w:rFonts w:ascii="Dubai" w:hAnsi="Dubai" w:cs="Dubai"/>
          <w:color w:val="000000" w:themeColor="text1"/>
          <w:sz w:val="28"/>
          <w:szCs w:val="28"/>
          <w:rtl/>
        </w:rPr>
      </w:pPr>
    </w:p>
    <w:p w14:paraId="5AEAACF5" w14:textId="77777777" w:rsidR="0039528E" w:rsidRPr="006412DE" w:rsidRDefault="0039528E" w:rsidP="0039528E">
      <w:pPr>
        <w:bidi/>
        <w:spacing w:before="120" w:beforeAutospacing="0" w:after="120" w:afterAutospacing="0"/>
        <w:ind w:left="-563" w:right="-426"/>
        <w:jc w:val="both"/>
        <w:rPr>
          <w:rFonts w:ascii="Dubai" w:hAnsi="Dubai" w:cs="Dubai"/>
          <w:sz w:val="28"/>
          <w:szCs w:val="28"/>
        </w:rPr>
      </w:pPr>
    </w:p>
    <w:sectPr w:rsidR="0039528E" w:rsidRPr="006412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ADE6E" w14:textId="77777777" w:rsidR="00FB2600" w:rsidRDefault="00FB2600" w:rsidP="00DF2277">
      <w:pPr>
        <w:spacing w:before="0" w:after="0"/>
      </w:pPr>
      <w:r>
        <w:separator/>
      </w:r>
    </w:p>
  </w:endnote>
  <w:endnote w:type="continuationSeparator" w:id="0">
    <w:p w14:paraId="0D68F1FF" w14:textId="77777777" w:rsidR="00FB2600" w:rsidRDefault="00FB2600"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47C40" w14:textId="77777777" w:rsidR="00FB2600" w:rsidRDefault="00FB2600" w:rsidP="00DF2277">
      <w:pPr>
        <w:spacing w:before="0" w:after="0"/>
      </w:pPr>
      <w:r>
        <w:separator/>
      </w:r>
    </w:p>
  </w:footnote>
  <w:footnote w:type="continuationSeparator" w:id="0">
    <w:p w14:paraId="53A57A68" w14:textId="77777777" w:rsidR="00FB2600" w:rsidRDefault="00FB2600"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2616" w14:textId="5435AD58" w:rsidR="00DF2277" w:rsidRPr="00DF2277" w:rsidRDefault="00DF2277" w:rsidP="00DF2277">
    <w:pPr>
      <w:pStyle w:val="Header"/>
    </w:pPr>
    <w:r>
      <w:rPr>
        <w:noProof/>
      </w:rPr>
      <w:drawing>
        <wp:inline distT="0" distB="0" distL="0" distR="0" wp14:anchorId="2A47EB80" wp14:editId="242261DF">
          <wp:extent cx="1231680" cy="1071245"/>
          <wp:effectExtent l="0" t="0" r="635"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1265338" cy="110051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C34EF4"/>
    <w:multiLevelType w:val="multilevel"/>
    <w:tmpl w:val="4C6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B0BDF"/>
    <w:rsid w:val="000E02F9"/>
    <w:rsid w:val="000F789A"/>
    <w:rsid w:val="00100326"/>
    <w:rsid w:val="00103273"/>
    <w:rsid w:val="00121569"/>
    <w:rsid w:val="0016713B"/>
    <w:rsid w:val="00185812"/>
    <w:rsid w:val="001A1D19"/>
    <w:rsid w:val="001A5612"/>
    <w:rsid w:val="001B6008"/>
    <w:rsid w:val="001F0BE9"/>
    <w:rsid w:val="001F150C"/>
    <w:rsid w:val="0021491A"/>
    <w:rsid w:val="00214B98"/>
    <w:rsid w:val="002569EC"/>
    <w:rsid w:val="00276D48"/>
    <w:rsid w:val="002B100F"/>
    <w:rsid w:val="00316EF5"/>
    <w:rsid w:val="00325857"/>
    <w:rsid w:val="00344CF2"/>
    <w:rsid w:val="00361FA9"/>
    <w:rsid w:val="0038764B"/>
    <w:rsid w:val="0039528E"/>
    <w:rsid w:val="003A3AFD"/>
    <w:rsid w:val="00430EBC"/>
    <w:rsid w:val="004312FA"/>
    <w:rsid w:val="00452C06"/>
    <w:rsid w:val="004667C0"/>
    <w:rsid w:val="004B4006"/>
    <w:rsid w:val="004F5686"/>
    <w:rsid w:val="00544C20"/>
    <w:rsid w:val="00592658"/>
    <w:rsid w:val="005C568E"/>
    <w:rsid w:val="005D53C4"/>
    <w:rsid w:val="005E7B8B"/>
    <w:rsid w:val="005F281C"/>
    <w:rsid w:val="00615403"/>
    <w:rsid w:val="006412DE"/>
    <w:rsid w:val="00755A7D"/>
    <w:rsid w:val="007979F5"/>
    <w:rsid w:val="007C1DE3"/>
    <w:rsid w:val="00801EFE"/>
    <w:rsid w:val="00817544"/>
    <w:rsid w:val="00841DC6"/>
    <w:rsid w:val="008957E1"/>
    <w:rsid w:val="008A3FA7"/>
    <w:rsid w:val="008C4998"/>
    <w:rsid w:val="008E175D"/>
    <w:rsid w:val="008F74CB"/>
    <w:rsid w:val="00900E2D"/>
    <w:rsid w:val="009064D8"/>
    <w:rsid w:val="009152BE"/>
    <w:rsid w:val="00934F75"/>
    <w:rsid w:val="0094308D"/>
    <w:rsid w:val="009911E7"/>
    <w:rsid w:val="00A0701F"/>
    <w:rsid w:val="00A12B74"/>
    <w:rsid w:val="00A53993"/>
    <w:rsid w:val="00A55994"/>
    <w:rsid w:val="00A91728"/>
    <w:rsid w:val="00AB4536"/>
    <w:rsid w:val="00AD19C8"/>
    <w:rsid w:val="00AE2013"/>
    <w:rsid w:val="00AF32B2"/>
    <w:rsid w:val="00B21E4B"/>
    <w:rsid w:val="00B3086D"/>
    <w:rsid w:val="00B52855"/>
    <w:rsid w:val="00B94F32"/>
    <w:rsid w:val="00C37AA8"/>
    <w:rsid w:val="00D01A3D"/>
    <w:rsid w:val="00D26CD8"/>
    <w:rsid w:val="00D63F09"/>
    <w:rsid w:val="00D673C1"/>
    <w:rsid w:val="00D8029C"/>
    <w:rsid w:val="00DC03BE"/>
    <w:rsid w:val="00DE137A"/>
    <w:rsid w:val="00DE4C50"/>
    <w:rsid w:val="00DF2277"/>
    <w:rsid w:val="00DF6750"/>
    <w:rsid w:val="00E00AC9"/>
    <w:rsid w:val="00E3332F"/>
    <w:rsid w:val="00E452CB"/>
    <w:rsid w:val="00ED5F2D"/>
    <w:rsid w:val="00EE1B78"/>
    <w:rsid w:val="00EE62DD"/>
    <w:rsid w:val="00F05A63"/>
    <w:rsid w:val="00F0713A"/>
    <w:rsid w:val="00F27508"/>
    <w:rsid w:val="00F56F47"/>
    <w:rsid w:val="00FA37D6"/>
    <w:rsid w:val="00FA46EE"/>
    <w:rsid w:val="00FB2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lang/>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AE20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210025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sheko abdo</cp:lastModifiedBy>
  <cp:revision>59</cp:revision>
  <dcterms:created xsi:type="dcterms:W3CDTF">2024-01-31T22:23:00Z</dcterms:created>
  <dcterms:modified xsi:type="dcterms:W3CDTF">2025-05-12T14:13:00Z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