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94A75" w14:textId="1039D0A6" w:rsidR="003C1665" w:rsidRPr="003C1665" w:rsidRDefault="003C1665" w:rsidP="00224B07">
      <w:pPr>
        <w:jc w:val="center"/>
        <w:rPr>
          <w:color w:val="FF0000"/>
        </w:rPr>
      </w:pPr>
      <w:r w:rsidRPr="003C1665">
        <w:rPr>
          <w:b/>
          <w:bCs/>
          <w:color w:val="FF0000"/>
        </w:rPr>
        <w:t>Statement by Partners for Transparency on Universalization</w:t>
      </w:r>
    </w:p>
    <w:p w14:paraId="00DD02A7" w14:textId="7E86D1D3" w:rsidR="003C1665" w:rsidRPr="003C1665" w:rsidRDefault="00224B07" w:rsidP="003C1665">
      <w:pPr>
        <w:pBdr>
          <w:bottom w:val="single" w:sz="4" w:space="1" w:color="auto"/>
        </w:pBdr>
        <w:jc w:val="center"/>
        <w:rPr>
          <w:color w:val="FF0000"/>
        </w:rPr>
      </w:pPr>
      <w:r>
        <w:rPr>
          <w:i/>
          <w:iCs/>
          <w:color w:val="FF0000"/>
        </w:rPr>
        <w:t>(</w:t>
      </w:r>
      <w:r w:rsidR="003C1665" w:rsidRPr="003C1665">
        <w:rPr>
          <w:i/>
          <w:iCs/>
          <w:color w:val="FF0000"/>
        </w:rPr>
        <w:t>26 Augus</w:t>
      </w:r>
      <w:r>
        <w:rPr>
          <w:i/>
          <w:iCs/>
          <w:color w:val="FF0000"/>
        </w:rPr>
        <w:t>t</w:t>
      </w:r>
      <w:r w:rsidR="003C1665" w:rsidRPr="003C1665">
        <w:rPr>
          <w:i/>
          <w:iCs/>
          <w:color w:val="FF0000"/>
        </w:rPr>
        <w:t>)</w:t>
      </w:r>
    </w:p>
    <w:p w14:paraId="39BB8082" w14:textId="2791C352" w:rsidR="003C1665" w:rsidRPr="003C1665" w:rsidRDefault="00224B07" w:rsidP="003C1665">
      <w:pPr>
        <w:jc w:val="both"/>
      </w:pPr>
      <w:r>
        <w:rPr>
          <w:b/>
          <w:bCs/>
        </w:rPr>
        <w:t xml:space="preserve">Madam </w:t>
      </w:r>
      <w:r w:rsidR="003C1665" w:rsidRPr="003C1665">
        <w:rPr>
          <w:b/>
          <w:bCs/>
        </w:rPr>
        <w:t>President,</w:t>
      </w:r>
    </w:p>
    <w:p w14:paraId="693DCBC6" w14:textId="77777777" w:rsidR="003C1665" w:rsidRPr="003C1665" w:rsidRDefault="003C1665" w:rsidP="003C1665">
      <w:pPr>
        <w:jc w:val="both"/>
      </w:pPr>
      <w:r w:rsidRPr="003C1665">
        <w:t>Civil society plays a vital role in advancing the universalization of the Treaty through awareness-raising and the building of public understanding. This can be achieved by simplifying the provisions of the Treaty and translating them into local languages; by clearly explaining the direct link between unregulated arms transfers and the increase of violence within communities; and by organizing media campaigns and workshops in schools, universities, and community centres. Such measures would galvanize public pressure on Governments and national parliaments to join the Treaty and to ratify it.</w:t>
      </w:r>
    </w:p>
    <w:p w14:paraId="02BF5A5A" w14:textId="04B1A881" w:rsidR="003C1665" w:rsidRPr="003C1665" w:rsidRDefault="003C1665" w:rsidP="003C1665">
      <w:pPr>
        <w:jc w:val="both"/>
        <w:rPr>
          <w:b/>
          <w:bCs/>
        </w:rPr>
      </w:pPr>
      <w:r w:rsidRPr="00FA50CF">
        <w:rPr>
          <w:b/>
          <w:bCs/>
        </w:rPr>
        <w:t>Partners for Transparency</w:t>
      </w:r>
      <w:r w:rsidRPr="003C1665">
        <w:rPr>
          <w:b/>
          <w:bCs/>
        </w:rPr>
        <w:t xml:space="preserve"> welcomes the working paper submitted by the Chair of the Eleventh Conference. It appropriately recognizes the need to give special consideration to engaging youth and mainstreaming their role in the Treaty processes. We also commend the working paper submitted by the Republic of Panama on enhancing youth participation in advancing the universalization of the Treaty.</w:t>
      </w:r>
    </w:p>
    <w:p w14:paraId="01F9E5FF" w14:textId="74090076" w:rsidR="003C1665" w:rsidRPr="003C1665" w:rsidRDefault="003C1665" w:rsidP="003C1665">
      <w:pPr>
        <w:jc w:val="both"/>
      </w:pPr>
      <w:r w:rsidRPr="003C1665">
        <w:t>Youth have an essential role in this regard, owing to their mastery of modern media tools. This enables them to design innovative digital campaigns that make the objectives of the Treaty accessible and convey them to local communities in an engaging manner. In addition, integrating youth into dialogues on disarmament, countering corruption, and strengthening transparency in the arms trade helps to build future cohorts who embrace governance and integrity values</w:t>
      </w:r>
      <w:r w:rsidR="00E358CC">
        <w:t xml:space="preserve">, </w:t>
      </w:r>
      <w:r w:rsidRPr="003C1665">
        <w:t>and who advocate for joining the Treaty.</w:t>
      </w:r>
    </w:p>
    <w:p w14:paraId="6AF91D10" w14:textId="35D846AD" w:rsidR="003C1665" w:rsidRPr="003C1665" w:rsidRDefault="003C1665" w:rsidP="003C1665">
      <w:pPr>
        <w:jc w:val="both"/>
      </w:pPr>
      <w:r w:rsidRPr="00FA50CF">
        <w:t xml:space="preserve">Partners </w:t>
      </w:r>
      <w:r w:rsidRPr="003C1665">
        <w:t>further emphasizes that involving youth in the implementation of relevant Security Council decisions</w:t>
      </w:r>
      <w:r w:rsidR="00E358CC" w:rsidRPr="00FA50CF">
        <w:t xml:space="preserve">, </w:t>
      </w:r>
      <w:r w:rsidRPr="003C1665">
        <w:t>particularly Security Council resolution 2250 on Youth, Peace and Security</w:t>
      </w:r>
      <w:r w:rsidR="00E358CC" w:rsidRPr="00FA50CF">
        <w:t xml:space="preserve">, </w:t>
      </w:r>
      <w:r w:rsidRPr="003C1665">
        <w:t>helps ensure that security strategies reflect their views and needs. This, in turn, supports the establishment of a common ground that encourages States to join the Treaty.</w:t>
      </w:r>
    </w:p>
    <w:p w14:paraId="71DCCCD7" w14:textId="1E591DF3" w:rsidR="003C1665" w:rsidRPr="003C1665" w:rsidRDefault="003C1665" w:rsidP="003C1665">
      <w:pPr>
        <w:jc w:val="both"/>
      </w:pPr>
      <w:r w:rsidRPr="003C1665">
        <w:t xml:space="preserve">Accordingly, </w:t>
      </w:r>
      <w:r>
        <w:t xml:space="preserve">Partners </w:t>
      </w:r>
      <w:r w:rsidRPr="003C1665">
        <w:t>proposes the following:</w:t>
      </w:r>
    </w:p>
    <w:p w14:paraId="3EAB4B2B" w14:textId="77777777" w:rsidR="003C1665" w:rsidRPr="003C1665" w:rsidRDefault="003C1665" w:rsidP="003C1665">
      <w:pPr>
        <w:numPr>
          <w:ilvl w:val="0"/>
          <w:numId w:val="1"/>
        </w:numPr>
        <w:tabs>
          <w:tab w:val="clear" w:pos="360"/>
          <w:tab w:val="num" w:pos="720"/>
        </w:tabs>
        <w:jc w:val="both"/>
      </w:pPr>
      <w:r w:rsidRPr="003C1665">
        <w:rPr>
          <w:b/>
          <w:bCs/>
        </w:rPr>
        <w:t>First:</w:t>
      </w:r>
      <w:r w:rsidRPr="003C1665">
        <w:t xml:space="preserve"> Translate the provisions of the Treaty into local languages and commonly used dialects in conflict-affected countries (particularly in Africa) to ensure community-level understanding.</w:t>
      </w:r>
    </w:p>
    <w:p w14:paraId="4C6F7C39" w14:textId="77777777" w:rsidR="003C1665" w:rsidRPr="003C1665" w:rsidRDefault="003C1665" w:rsidP="003C1665">
      <w:pPr>
        <w:numPr>
          <w:ilvl w:val="0"/>
          <w:numId w:val="1"/>
        </w:numPr>
        <w:tabs>
          <w:tab w:val="clear" w:pos="360"/>
        </w:tabs>
        <w:jc w:val="both"/>
      </w:pPr>
      <w:r w:rsidRPr="003C1665">
        <w:rPr>
          <w:b/>
          <w:bCs/>
        </w:rPr>
        <w:lastRenderedPageBreak/>
        <w:t>Second:</w:t>
      </w:r>
      <w:r w:rsidRPr="003C1665">
        <w:t xml:space="preserve"> Establish an interactive web portal for youth within the Treaty’s official website, to serve as a permanent platform to gather their views and to recognize them as essential partners.</w:t>
      </w:r>
    </w:p>
    <w:p w14:paraId="6BFD7B1C" w14:textId="44F68D78" w:rsidR="003C1665" w:rsidRPr="003C1665" w:rsidRDefault="003C1665" w:rsidP="003C1665">
      <w:pPr>
        <w:numPr>
          <w:ilvl w:val="0"/>
          <w:numId w:val="1"/>
        </w:numPr>
        <w:tabs>
          <w:tab w:val="clear" w:pos="360"/>
          <w:tab w:val="num" w:pos="720"/>
        </w:tabs>
        <w:jc w:val="both"/>
      </w:pPr>
      <w:r w:rsidRPr="003C1665">
        <w:rPr>
          <w:b/>
          <w:bCs/>
        </w:rPr>
        <w:t>Third:</w:t>
      </w:r>
      <w:r w:rsidRPr="003C1665">
        <w:t xml:space="preserve"> Launch an annual regional competition for producing short video clips and podcast episodes, in which youth</w:t>
      </w:r>
      <w:r w:rsidR="00356F15">
        <w:t xml:space="preserve">, </w:t>
      </w:r>
      <w:r w:rsidRPr="003C1665">
        <w:t>in their local languages</w:t>
      </w:r>
      <w:r w:rsidR="00356F15">
        <w:t xml:space="preserve">, </w:t>
      </w:r>
      <w:r w:rsidRPr="003C1665">
        <w:t>simplify the Treaty’s provisions and explain the impact of regulating the arms trade on the security of their communities.</w:t>
      </w:r>
    </w:p>
    <w:p w14:paraId="59412D1D" w14:textId="77777777" w:rsidR="003C1665" w:rsidRDefault="003C1665" w:rsidP="003C1665">
      <w:pPr>
        <w:jc w:val="both"/>
      </w:pPr>
    </w:p>
    <w:sectPr w:rsidR="003C1665">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9C68" w14:textId="77777777" w:rsidR="006B4F08" w:rsidRDefault="006B4F08" w:rsidP="00A310E0">
      <w:pPr>
        <w:spacing w:after="0" w:line="240" w:lineRule="auto"/>
      </w:pPr>
      <w:r>
        <w:separator/>
      </w:r>
    </w:p>
  </w:endnote>
  <w:endnote w:type="continuationSeparator" w:id="0">
    <w:p w14:paraId="6C52A643" w14:textId="77777777" w:rsidR="006B4F08" w:rsidRDefault="006B4F08" w:rsidP="00A31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A798" w14:textId="77777777" w:rsidR="006B4F08" w:rsidRDefault="006B4F08" w:rsidP="00A310E0">
      <w:pPr>
        <w:spacing w:after="0" w:line="240" w:lineRule="auto"/>
      </w:pPr>
      <w:r>
        <w:separator/>
      </w:r>
    </w:p>
  </w:footnote>
  <w:footnote w:type="continuationSeparator" w:id="0">
    <w:p w14:paraId="1D16A3C1" w14:textId="77777777" w:rsidR="006B4F08" w:rsidRDefault="006B4F08" w:rsidP="00A31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593D" w14:textId="77777777" w:rsidR="00EE706E" w:rsidRDefault="00EE706E" w:rsidP="00EE706E">
    <w:pPr>
      <w:pStyle w:val="Header"/>
      <w:jc w:val="right"/>
      <w:rPr>
        <w:b/>
        <w:bCs/>
        <w:rtl/>
      </w:rPr>
    </w:pPr>
    <w:r>
      <w:rPr>
        <w:b/>
        <w:bCs/>
        <w:noProof/>
      </w:rPr>
      <w:drawing>
        <wp:inline distT="0" distB="0" distL="0" distR="0" wp14:anchorId="2416A521" wp14:editId="328545C2">
          <wp:extent cx="888614" cy="922020"/>
          <wp:effectExtent l="0" t="0" r="6985" b="0"/>
          <wp:docPr id="1904587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87703" name="Picture 1904587703"/>
                  <pic:cNvPicPr/>
                </pic:nvPicPr>
                <pic:blipFill>
                  <a:blip r:embed="rId1">
                    <a:extLst>
                      <a:ext uri="{28A0092B-C50C-407E-A947-70E740481C1C}">
                        <a14:useLocalDpi xmlns:a14="http://schemas.microsoft.com/office/drawing/2010/main" val="0"/>
                      </a:ext>
                    </a:extLst>
                  </a:blip>
                  <a:stretch>
                    <a:fillRect/>
                  </a:stretch>
                </pic:blipFill>
                <pic:spPr>
                  <a:xfrm>
                    <a:off x="0" y="0"/>
                    <a:ext cx="894340" cy="927961"/>
                  </a:xfrm>
                  <a:prstGeom prst="rect">
                    <a:avLst/>
                  </a:prstGeom>
                </pic:spPr>
              </pic:pic>
            </a:graphicData>
          </a:graphic>
        </wp:inline>
      </w:drawing>
    </w:r>
  </w:p>
  <w:p w14:paraId="642DB217" w14:textId="77777777" w:rsidR="00EE706E" w:rsidRDefault="00EE706E" w:rsidP="00A310E0">
    <w:pPr>
      <w:pStyle w:val="Header"/>
      <w:rPr>
        <w:b/>
        <w:bCs/>
        <w:rtl/>
      </w:rPr>
    </w:pPr>
  </w:p>
  <w:p w14:paraId="426005CD" w14:textId="4816106B" w:rsidR="00A310E0" w:rsidRDefault="00A310E0" w:rsidP="00A310E0">
    <w:pPr>
      <w:pStyle w:val="Header"/>
      <w:rPr>
        <w:b/>
        <w:bCs/>
      </w:rPr>
    </w:pPr>
    <w:r w:rsidRPr="001C617D">
      <w:rPr>
        <w:b/>
        <w:bCs/>
      </w:rPr>
      <w:t>ATT CSP11</w:t>
    </w:r>
    <w:r w:rsidR="00EE706E">
      <w:rPr>
        <w:rFonts w:hint="cs"/>
        <w:b/>
        <w:bCs/>
        <w:rtl/>
      </w:rPr>
      <w:t xml:space="preserve">   </w:t>
    </w:r>
  </w:p>
  <w:p w14:paraId="78CB6675" w14:textId="77777777" w:rsidR="00A310E0" w:rsidRPr="001C617D" w:rsidRDefault="00A310E0" w:rsidP="00A310E0">
    <w:pPr>
      <w:pStyle w:val="Header"/>
    </w:pPr>
    <w:r w:rsidRPr="001C617D">
      <w:rPr>
        <w:b/>
        <w:bCs/>
      </w:rPr>
      <w:t>Geneva, 25–29 August 2026</w:t>
    </w:r>
  </w:p>
  <w:p w14:paraId="42466B1F" w14:textId="77777777" w:rsidR="00A310E0" w:rsidRDefault="00A31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5CAF"/>
    <w:multiLevelType w:val="multilevel"/>
    <w:tmpl w:val="EC3682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6865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665"/>
    <w:rsid w:val="00224B07"/>
    <w:rsid w:val="00356F15"/>
    <w:rsid w:val="003C1665"/>
    <w:rsid w:val="006B4F08"/>
    <w:rsid w:val="007F01B1"/>
    <w:rsid w:val="00A310E0"/>
    <w:rsid w:val="00B80774"/>
    <w:rsid w:val="00D31CA7"/>
    <w:rsid w:val="00E358CC"/>
    <w:rsid w:val="00EE706E"/>
    <w:rsid w:val="00FA50CF"/>
    <w:rsid w:val="00FE02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06938"/>
  <w15:chartTrackingRefBased/>
  <w15:docId w15:val="{6B28C6B3-EF41-4FA1-BF1A-3E307F20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665"/>
    <w:rPr>
      <w:rFonts w:eastAsiaTheme="majorEastAsia" w:cstheme="majorBidi"/>
      <w:color w:val="272727" w:themeColor="text1" w:themeTint="D8"/>
    </w:rPr>
  </w:style>
  <w:style w:type="paragraph" w:styleId="Title">
    <w:name w:val="Title"/>
    <w:basedOn w:val="Normal"/>
    <w:next w:val="Normal"/>
    <w:link w:val="TitleChar"/>
    <w:uiPriority w:val="10"/>
    <w:qFormat/>
    <w:rsid w:val="003C1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665"/>
    <w:pPr>
      <w:spacing w:before="160"/>
      <w:jc w:val="center"/>
    </w:pPr>
    <w:rPr>
      <w:i/>
      <w:iCs/>
      <w:color w:val="404040" w:themeColor="text1" w:themeTint="BF"/>
    </w:rPr>
  </w:style>
  <w:style w:type="character" w:customStyle="1" w:styleId="QuoteChar">
    <w:name w:val="Quote Char"/>
    <w:basedOn w:val="DefaultParagraphFont"/>
    <w:link w:val="Quote"/>
    <w:uiPriority w:val="29"/>
    <w:rsid w:val="003C1665"/>
    <w:rPr>
      <w:i/>
      <w:iCs/>
      <w:color w:val="404040" w:themeColor="text1" w:themeTint="BF"/>
    </w:rPr>
  </w:style>
  <w:style w:type="paragraph" w:styleId="ListParagraph">
    <w:name w:val="List Paragraph"/>
    <w:basedOn w:val="Normal"/>
    <w:uiPriority w:val="34"/>
    <w:qFormat/>
    <w:rsid w:val="003C1665"/>
    <w:pPr>
      <w:ind w:left="720"/>
      <w:contextualSpacing/>
    </w:pPr>
  </w:style>
  <w:style w:type="character" w:styleId="IntenseEmphasis">
    <w:name w:val="Intense Emphasis"/>
    <w:basedOn w:val="DefaultParagraphFont"/>
    <w:uiPriority w:val="21"/>
    <w:qFormat/>
    <w:rsid w:val="003C1665"/>
    <w:rPr>
      <w:i/>
      <w:iCs/>
      <w:color w:val="0F4761" w:themeColor="accent1" w:themeShade="BF"/>
    </w:rPr>
  </w:style>
  <w:style w:type="paragraph" w:styleId="IntenseQuote">
    <w:name w:val="Intense Quote"/>
    <w:basedOn w:val="Normal"/>
    <w:next w:val="Normal"/>
    <w:link w:val="IntenseQuoteChar"/>
    <w:uiPriority w:val="30"/>
    <w:qFormat/>
    <w:rsid w:val="003C1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665"/>
    <w:rPr>
      <w:i/>
      <w:iCs/>
      <w:color w:val="0F4761" w:themeColor="accent1" w:themeShade="BF"/>
    </w:rPr>
  </w:style>
  <w:style w:type="character" w:styleId="IntenseReference">
    <w:name w:val="Intense Reference"/>
    <w:basedOn w:val="DefaultParagraphFont"/>
    <w:uiPriority w:val="32"/>
    <w:qFormat/>
    <w:rsid w:val="003C1665"/>
    <w:rPr>
      <w:b/>
      <w:bCs/>
      <w:smallCaps/>
      <w:color w:val="0F4761" w:themeColor="accent1" w:themeShade="BF"/>
      <w:spacing w:val="5"/>
    </w:rPr>
  </w:style>
  <w:style w:type="paragraph" w:styleId="Header">
    <w:name w:val="header"/>
    <w:basedOn w:val="Normal"/>
    <w:link w:val="HeaderChar"/>
    <w:uiPriority w:val="99"/>
    <w:unhideWhenUsed/>
    <w:rsid w:val="00A31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0E0"/>
  </w:style>
  <w:style w:type="paragraph" w:styleId="Footer">
    <w:name w:val="footer"/>
    <w:basedOn w:val="Normal"/>
    <w:link w:val="FooterChar"/>
    <w:uiPriority w:val="99"/>
    <w:unhideWhenUsed/>
    <w:rsid w:val="00A31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654700">
      <w:bodyDiv w:val="1"/>
      <w:marLeft w:val="0"/>
      <w:marRight w:val="0"/>
      <w:marTop w:val="0"/>
      <w:marBottom w:val="0"/>
      <w:divBdr>
        <w:top w:val="none" w:sz="0" w:space="0" w:color="auto"/>
        <w:left w:val="none" w:sz="0" w:space="0" w:color="auto"/>
        <w:bottom w:val="none" w:sz="0" w:space="0" w:color="auto"/>
        <w:right w:val="none" w:sz="0" w:space="0" w:color="auto"/>
      </w:divBdr>
      <w:divsChild>
        <w:div w:id="1760515491">
          <w:marLeft w:val="0"/>
          <w:marRight w:val="0"/>
          <w:marTop w:val="0"/>
          <w:marBottom w:val="0"/>
          <w:divBdr>
            <w:top w:val="none" w:sz="0" w:space="0" w:color="auto"/>
            <w:left w:val="none" w:sz="0" w:space="0" w:color="auto"/>
            <w:bottom w:val="none" w:sz="0" w:space="0" w:color="auto"/>
            <w:right w:val="none" w:sz="0" w:space="0" w:color="auto"/>
          </w:divBdr>
        </w:div>
      </w:divsChild>
    </w:div>
    <w:div w:id="1965961360">
      <w:bodyDiv w:val="1"/>
      <w:marLeft w:val="0"/>
      <w:marRight w:val="0"/>
      <w:marTop w:val="0"/>
      <w:marBottom w:val="0"/>
      <w:divBdr>
        <w:top w:val="none" w:sz="0" w:space="0" w:color="auto"/>
        <w:left w:val="none" w:sz="0" w:space="0" w:color="auto"/>
        <w:bottom w:val="none" w:sz="0" w:space="0" w:color="auto"/>
        <w:right w:val="none" w:sz="0" w:space="0" w:color="auto"/>
      </w:divBdr>
      <w:divsChild>
        <w:div w:id="1748918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60D303-023C-4DF0-9359-040E252AC135}"/>
</file>

<file path=customXml/itemProps2.xml><?xml version="1.0" encoding="utf-8"?>
<ds:datastoreItem xmlns:ds="http://schemas.openxmlformats.org/officeDocument/2006/customXml" ds:itemID="{51F8909F-B936-422B-8244-D227826F5B72}"/>
</file>

<file path=customXml/itemProps3.xml><?xml version="1.0" encoding="utf-8"?>
<ds:datastoreItem xmlns:ds="http://schemas.openxmlformats.org/officeDocument/2006/customXml" ds:itemID="{68A0C2B8-6852-47C5-B0E1-296A43E0B11C}"/>
</file>

<file path=docProps/app.xml><?xml version="1.0" encoding="utf-8"?>
<Properties xmlns="http://schemas.openxmlformats.org/officeDocument/2006/extended-properties" xmlns:vt="http://schemas.openxmlformats.org/officeDocument/2006/docPropsVTypes">
  <Template>Normal</Template>
  <TotalTime>7</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4</cp:revision>
  <dcterms:created xsi:type="dcterms:W3CDTF">2026-08-19T11:57:00Z</dcterms:created>
  <dcterms:modified xsi:type="dcterms:W3CDTF">2026-08-23T08:56:00Z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dfff11db-8943-416d-a1f8-924c68f62f18</vt:lpwstr>
  </property>
  <property fmtid="{D5CDD505-2E9C-101B-9397-08002B2CF9AE}" pid="3" name="ContentTypeId">
    <vt:lpwstr>0x010100B7F1C8DE1F14EA408AB32AAE07B531EF</vt:lpwstr>
  </property>
</Properties>
</file>