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844DFB8" w14:textId="77777777" w:rsidR="00FE1E65" w:rsidRPr="00FE1E65" w:rsidRDefault="00FE1E65" w:rsidP="001F2C5C">
      <w:pPr>
        <w:pStyle w:val="isselectedend"/>
        <w:rPr>
          <w:lang w:val="en-US"/>
        </w:rPr>
      </w:pPr>
      <w:r w:rsidRPr="00FE1E65">
        <w:rPr>
          <w:rStyle w:val="Fuerte"/>
          <w:lang w:val="en-US"/>
        </w:rPr>
        <w:t>Statement of the Association for Public Policies (APP)</w:t>
      </w:r>
      <w:r w:rsidRPr="00FE1E65">
        <w:rPr>
          <w:lang w:val="en-US"/>
        </w:rPr>
        <w:br/>
      </w:r>
      <w:r w:rsidRPr="00FE1E65">
        <w:rPr>
          <w:rStyle w:val="Fuerte"/>
          <w:lang w:val="en-US"/>
        </w:rPr>
        <w:t>Conference of States Parties to the Arms Trade Treaty (CSP12)</w:t>
      </w:r>
    </w:p>
    <w:p w14:paraId="4547645E" w14:textId="77777777" w:rsidR="00FE1E65" w:rsidRPr="00FE1E65" w:rsidRDefault="00FE1E65" w:rsidP="001F2C5C">
      <w:pPr>
        <w:pStyle w:val="isselectedend"/>
        <w:jc w:val="both"/>
        <w:rPr>
          <w:lang w:val="en-US"/>
        </w:rPr>
      </w:pPr>
      <w:r w:rsidRPr="00FE1E65">
        <w:rPr>
          <w:lang w:val="en-US"/>
        </w:rPr>
        <w:t>Mr. President, distinguished delegates and colleagues,</w:t>
      </w:r>
    </w:p>
    <w:p w14:paraId="5EE251C6" w14:textId="77777777" w:rsidR="00FE1E65" w:rsidRPr="00FE1E65" w:rsidRDefault="00FE1E65" w:rsidP="001F2C5C">
      <w:pPr>
        <w:pStyle w:val="isselectedend"/>
        <w:jc w:val="both"/>
        <w:rPr>
          <w:lang w:val="en-US"/>
        </w:rPr>
      </w:pPr>
      <w:r w:rsidRPr="00FE1E65">
        <w:rPr>
          <w:lang w:val="en-US"/>
        </w:rPr>
        <w:t>The Association for Public Policies (APP) has been working for more than 20 years on arms control, armed violence prevention and gender issues.</w:t>
      </w:r>
    </w:p>
    <w:p w14:paraId="2B67FACA" w14:textId="77777777" w:rsidR="00FE1E65" w:rsidRPr="00FE1E65" w:rsidRDefault="00FE1E65" w:rsidP="001F2C5C">
      <w:pPr>
        <w:pStyle w:val="isselectedend"/>
        <w:jc w:val="both"/>
        <w:rPr>
          <w:lang w:val="en-US"/>
        </w:rPr>
      </w:pPr>
      <w:r w:rsidRPr="00FE1E65">
        <w:rPr>
          <w:lang w:val="en-US"/>
        </w:rPr>
        <w:t xml:space="preserve">In this context, ammunition control has long been a pending issue within the international arms control agenda. From the first discussions in the 2000s to the adoption, in December 2023, of the </w:t>
      </w:r>
      <w:r w:rsidRPr="00FE1E65">
        <w:rPr>
          <w:rStyle w:val="Fuerte"/>
          <w:lang w:val="en-US"/>
        </w:rPr>
        <w:t>Global Framework for Through-life Conventional Ammunition Management</w:t>
      </w:r>
      <w:r w:rsidRPr="00FE1E65">
        <w:rPr>
          <w:lang w:val="en-US"/>
        </w:rPr>
        <w:t xml:space="preserve"> by the United Nations General Assembly, significant progress has been made.</w:t>
      </w:r>
    </w:p>
    <w:p w14:paraId="4F0CD366" w14:textId="77777777" w:rsidR="00FE1E65" w:rsidRPr="00FE1E65" w:rsidRDefault="00FE1E65" w:rsidP="001F2C5C">
      <w:pPr>
        <w:pStyle w:val="isselectedend"/>
        <w:jc w:val="both"/>
        <w:rPr>
          <w:lang w:val="en-US"/>
        </w:rPr>
      </w:pPr>
      <w:r w:rsidRPr="00FE1E65">
        <w:rPr>
          <w:lang w:val="en-US"/>
        </w:rPr>
        <w:t xml:space="preserve">One of the key precedents that helped lay the foundations for this process was the </w:t>
      </w:r>
      <w:r w:rsidRPr="00FE1E65">
        <w:rPr>
          <w:rStyle w:val="Fuerte"/>
          <w:lang w:val="en-US"/>
        </w:rPr>
        <w:t>Arms Trade Treaty (ATT)</w:t>
      </w:r>
      <w:r w:rsidRPr="00FE1E65">
        <w:rPr>
          <w:lang w:val="en-US"/>
        </w:rPr>
        <w:t>.</w:t>
      </w:r>
    </w:p>
    <w:p w14:paraId="3A16DCDA" w14:textId="77777777" w:rsidR="00FE1E65" w:rsidRPr="00FE1E65" w:rsidRDefault="00FE1E65" w:rsidP="001F2C5C">
      <w:pPr>
        <w:pStyle w:val="isselectedend"/>
        <w:jc w:val="both"/>
        <w:rPr>
          <w:lang w:val="en-US"/>
        </w:rPr>
      </w:pPr>
      <w:r w:rsidRPr="00FE1E65">
        <w:rPr>
          <w:lang w:val="en-US"/>
        </w:rPr>
        <w:t xml:space="preserve">On 6 and 7 August, APP organized a working workshop in Puerto </w:t>
      </w:r>
      <w:proofErr w:type="spellStart"/>
      <w:r w:rsidRPr="00FE1E65">
        <w:rPr>
          <w:lang w:val="en-US"/>
        </w:rPr>
        <w:t>Iguazú</w:t>
      </w:r>
      <w:proofErr w:type="spellEnd"/>
      <w:r w:rsidRPr="00FE1E65">
        <w:rPr>
          <w:lang w:val="en-US"/>
        </w:rPr>
        <w:t>, at the triple border between Argentina, Brazil and Paraguay, with the participation of MERCOSUR countries and Chile, and with the support of UNSCAR. The reality of cross-border trafficking poses additional challenges to the effective implementation of arms and ammunition control instruments.</w:t>
      </w:r>
    </w:p>
    <w:p w14:paraId="1A236725" w14:textId="77777777" w:rsidR="00FE1E65" w:rsidRPr="00FE1E65" w:rsidRDefault="00FE1E65" w:rsidP="001F2C5C">
      <w:pPr>
        <w:pStyle w:val="isselectedend"/>
        <w:jc w:val="both"/>
        <w:rPr>
          <w:lang w:val="en-US"/>
        </w:rPr>
      </w:pPr>
      <w:r w:rsidRPr="00FE1E65">
        <w:rPr>
          <w:lang w:val="en-US"/>
        </w:rPr>
        <w:t xml:space="preserve">Our region brings together countries with significant ammunition production capacity, medium-scale producers and importers. During our discussions, two concrete needs emerged: strengthening real-time information exchange, both between countries and among different agencies within each </w:t>
      </w:r>
      <w:proofErr w:type="gramStart"/>
      <w:r w:rsidRPr="00FE1E65">
        <w:rPr>
          <w:lang w:val="en-US"/>
        </w:rPr>
        <w:t>State, and</w:t>
      </w:r>
      <w:proofErr w:type="gramEnd"/>
      <w:r w:rsidRPr="00FE1E65">
        <w:rPr>
          <w:lang w:val="en-US"/>
        </w:rPr>
        <w:t xml:space="preserve"> moving towards more standardized marking systems to improve tracing and more accurately identify points of diversion.</w:t>
      </w:r>
    </w:p>
    <w:p w14:paraId="5B38C903" w14:textId="77777777" w:rsidR="00FE1E65" w:rsidRPr="00FE1E65" w:rsidRDefault="00FE1E65" w:rsidP="001F2C5C">
      <w:pPr>
        <w:pStyle w:val="isselectedend"/>
        <w:jc w:val="both"/>
        <w:rPr>
          <w:lang w:val="en-US"/>
        </w:rPr>
      </w:pPr>
      <w:r w:rsidRPr="00FE1E65">
        <w:rPr>
          <w:lang w:val="en-US"/>
        </w:rPr>
        <w:t xml:space="preserve">In this context, we believe that the </w:t>
      </w:r>
      <w:r w:rsidRPr="00FE1E65">
        <w:rPr>
          <w:rStyle w:val="Fuerte"/>
          <w:lang w:val="en-US"/>
        </w:rPr>
        <w:t>ATT and the Global Framework should not be implemented as separate agendas</w:t>
      </w:r>
      <w:r w:rsidRPr="00FE1E65">
        <w:rPr>
          <w:lang w:val="en-US"/>
        </w:rPr>
        <w:t>. On the contrary, they can mutually reinforce one another, particularly by reducing the existing gap between the control of arms transfers and ammunition management, and by translating diversion prevention into practical national controls covering the entire life cycle of ammunition.</w:t>
      </w:r>
    </w:p>
    <w:p w14:paraId="2C845860" w14:textId="77777777" w:rsidR="00FE1E65" w:rsidRPr="00FE1E65" w:rsidRDefault="00FE1E65" w:rsidP="001F2C5C">
      <w:pPr>
        <w:pStyle w:val="isselectedend"/>
        <w:jc w:val="both"/>
        <w:rPr>
          <w:lang w:val="en-US"/>
        </w:rPr>
      </w:pPr>
      <w:r w:rsidRPr="00FE1E65">
        <w:rPr>
          <w:lang w:val="en-US"/>
        </w:rPr>
        <w:t>The ATT provides a fundamental framework for responsible international transfers of conventional arms. The Global Framework complements this architecture by addressing conventional ammunition throughout its life cycle: from production and the stages prior to transfer, through transfer and stockpile management, to recovery, use, declaration as surplus and disposal.</w:t>
      </w:r>
    </w:p>
    <w:p w14:paraId="6C3F1E02" w14:textId="77777777" w:rsidR="00FE1E65" w:rsidRPr="001F2C5C" w:rsidRDefault="00FE1E65" w:rsidP="001F2C5C">
      <w:pPr>
        <w:pStyle w:val="isselectedend"/>
        <w:jc w:val="both"/>
        <w:rPr>
          <w:lang w:val="en-US"/>
        </w:rPr>
      </w:pPr>
      <w:r w:rsidRPr="001F2C5C">
        <w:rPr>
          <w:lang w:val="en-US"/>
        </w:rPr>
        <w:t xml:space="preserve">This complementarity is particularly relevant to addressing diversion risks. The diversion of ammunition cannot be effectively prevented solely at the point when an export </w:t>
      </w:r>
      <w:proofErr w:type="spellStart"/>
      <w:r w:rsidRPr="001F2C5C">
        <w:rPr>
          <w:lang w:val="en-US"/>
        </w:rPr>
        <w:t>licence</w:t>
      </w:r>
      <w:proofErr w:type="spellEnd"/>
      <w:r w:rsidRPr="001F2C5C">
        <w:rPr>
          <w:lang w:val="en-US"/>
        </w:rPr>
        <w:t xml:space="preserve"> is granted. Risks can emerge at different points along the supply chain and throughout the ammunition life cycle.</w:t>
      </w:r>
    </w:p>
    <w:p w14:paraId="4C6F2956" w14:textId="77777777" w:rsidR="00FE1E65" w:rsidRPr="001F2C5C" w:rsidRDefault="00FE1E65" w:rsidP="001F2C5C">
      <w:pPr>
        <w:pStyle w:val="isselectedend"/>
        <w:jc w:val="both"/>
        <w:rPr>
          <w:lang w:val="en-US"/>
        </w:rPr>
      </w:pPr>
      <w:r w:rsidRPr="001F2C5C">
        <w:rPr>
          <w:lang w:val="en-US"/>
        </w:rPr>
        <w:lastRenderedPageBreak/>
        <w:t>Effective prevention therefore requires appropriate controls before, during and after transfer, as well as robust systems for storage, stockpile management, documentation, recovery and disposal.</w:t>
      </w:r>
    </w:p>
    <w:p w14:paraId="5F91B6C3" w14:textId="77777777" w:rsidR="00FE1E65" w:rsidRPr="001F2C5C" w:rsidRDefault="00FE1E65" w:rsidP="001F2C5C">
      <w:pPr>
        <w:pStyle w:val="isselectedend"/>
        <w:jc w:val="both"/>
        <w:rPr>
          <w:lang w:val="en-US"/>
        </w:rPr>
      </w:pPr>
      <w:r w:rsidRPr="001F2C5C">
        <w:rPr>
          <w:lang w:val="en-US"/>
        </w:rPr>
        <w:t>The Global Framework provides States with practical tools to strengthen these capacities, including supply-chain transparency, end-user documentation, marking and tracing, information-sharing on diverted ammunition, and stronger national systems for inventory management and record-keeping.</w:t>
      </w:r>
    </w:p>
    <w:p w14:paraId="741D2D9B" w14:textId="77777777" w:rsidR="00FE1E65" w:rsidRPr="001F2C5C" w:rsidRDefault="00FE1E65" w:rsidP="001F2C5C">
      <w:pPr>
        <w:pStyle w:val="isselectedend"/>
        <w:jc w:val="both"/>
        <w:rPr>
          <w:lang w:val="en-US"/>
        </w:rPr>
      </w:pPr>
      <w:r w:rsidRPr="001F2C5C">
        <w:rPr>
          <w:lang w:val="en-US"/>
        </w:rPr>
        <w:t>This complementarity also has an important gender dimension, as the availability and diversion of arms and ammunition can contribute to increasing the risks of armed violence and its differentiated impacts.</w:t>
      </w:r>
    </w:p>
    <w:p w14:paraId="1E6B7A30" w14:textId="77777777" w:rsidR="00FE1E65" w:rsidRPr="001F2C5C" w:rsidRDefault="00FE1E65" w:rsidP="001F2C5C">
      <w:pPr>
        <w:pStyle w:val="isselectedend"/>
        <w:jc w:val="both"/>
        <w:rPr>
          <w:lang w:val="en-US"/>
        </w:rPr>
      </w:pPr>
      <w:r w:rsidRPr="001F2C5C">
        <w:rPr>
          <w:lang w:val="en-US"/>
        </w:rPr>
        <w:t>Mr. President,</w:t>
      </w:r>
    </w:p>
    <w:p w14:paraId="1C3B460D" w14:textId="77777777" w:rsidR="00FE1E65" w:rsidRPr="001F2C5C" w:rsidRDefault="00FE1E65" w:rsidP="001F2C5C">
      <w:pPr>
        <w:pStyle w:val="isselectedend"/>
        <w:jc w:val="both"/>
        <w:rPr>
          <w:lang w:val="en-US"/>
        </w:rPr>
      </w:pPr>
      <w:r w:rsidRPr="001F2C5C">
        <w:rPr>
          <w:lang w:val="en-US"/>
        </w:rPr>
        <w:t xml:space="preserve">For these reasons, we encourage States Parties to consider </w:t>
      </w:r>
      <w:r w:rsidRPr="001F2C5C">
        <w:rPr>
          <w:rStyle w:val="Fuerte"/>
          <w:lang w:val="en-US"/>
        </w:rPr>
        <w:t>three practical measures</w:t>
      </w:r>
      <w:r w:rsidRPr="001F2C5C">
        <w:rPr>
          <w:lang w:val="en-US"/>
        </w:rPr>
        <w:t>.</w:t>
      </w:r>
    </w:p>
    <w:p w14:paraId="28FB268F" w14:textId="77777777" w:rsidR="00FE1E65" w:rsidRPr="001F2C5C" w:rsidRDefault="00FE1E65" w:rsidP="001F2C5C">
      <w:pPr>
        <w:pStyle w:val="isselectedend"/>
        <w:jc w:val="both"/>
        <w:rPr>
          <w:lang w:val="en-US"/>
        </w:rPr>
      </w:pPr>
      <w:r w:rsidRPr="001F2C5C">
        <w:rPr>
          <w:rStyle w:val="Fuerte"/>
          <w:lang w:val="en-US"/>
        </w:rPr>
        <w:t>First</w:t>
      </w:r>
      <w:r w:rsidRPr="001F2C5C">
        <w:rPr>
          <w:lang w:val="en-US"/>
        </w:rPr>
        <w:t xml:space="preserve">, when reviewing and strengthening their national ATT control systems, States should consider how the objectives, tools and support measures of the Global Framework can contribute to strengthening controls over conventional ammunition, particularly </w:t>
      </w:r>
      <w:proofErr w:type="gramStart"/>
      <w:r w:rsidRPr="001F2C5C">
        <w:rPr>
          <w:lang w:val="en-US"/>
        </w:rPr>
        <w:t>with regard to</w:t>
      </w:r>
      <w:proofErr w:type="gramEnd"/>
      <w:r w:rsidRPr="001F2C5C">
        <w:rPr>
          <w:lang w:val="en-US"/>
        </w:rPr>
        <w:t xml:space="preserve"> diversion prevention and the management of the supply chain following transfer.</w:t>
      </w:r>
    </w:p>
    <w:p w14:paraId="4602FA84" w14:textId="77777777" w:rsidR="00FE1E65" w:rsidRPr="001F2C5C" w:rsidRDefault="00FE1E65" w:rsidP="001F2C5C">
      <w:pPr>
        <w:pStyle w:val="isselectedend"/>
        <w:jc w:val="both"/>
        <w:rPr>
          <w:lang w:val="en-US"/>
        </w:rPr>
      </w:pPr>
      <w:r w:rsidRPr="001F2C5C">
        <w:rPr>
          <w:rStyle w:val="Fuerte"/>
          <w:lang w:val="en-US"/>
        </w:rPr>
        <w:t>Second</w:t>
      </w:r>
      <w:r w:rsidRPr="001F2C5C">
        <w:rPr>
          <w:lang w:val="en-US"/>
        </w:rPr>
        <w:t>, the ATT community and the community implementing the Global Framework should expand opportunities for information exchange and practical cooperation. States should not be required to develop parallel systems for instruments that, in many cases, address closely interconnected risks.</w:t>
      </w:r>
    </w:p>
    <w:p w14:paraId="7B516720" w14:textId="77777777" w:rsidR="00FE1E65" w:rsidRPr="001F2C5C" w:rsidRDefault="00FE1E65" w:rsidP="001F2C5C">
      <w:pPr>
        <w:pStyle w:val="isselectedend"/>
        <w:jc w:val="both"/>
        <w:rPr>
          <w:lang w:val="en-US"/>
        </w:rPr>
      </w:pPr>
      <w:r w:rsidRPr="001F2C5C">
        <w:rPr>
          <w:rStyle w:val="Fuerte"/>
          <w:lang w:val="en-US"/>
        </w:rPr>
        <w:t>Third</w:t>
      </w:r>
      <w:r w:rsidRPr="001F2C5C">
        <w:rPr>
          <w:lang w:val="en-US"/>
        </w:rPr>
        <w:t>, we encourage States Parties to make use of the ATT’s existing mechanisms to explore these complementarities.</w:t>
      </w:r>
    </w:p>
    <w:p w14:paraId="7CEE3A45" w14:textId="77777777" w:rsidR="00FE1E65" w:rsidRPr="001F2C5C" w:rsidRDefault="00FE1E65" w:rsidP="001F2C5C">
      <w:pPr>
        <w:pStyle w:val="isselectedend"/>
        <w:jc w:val="both"/>
        <w:rPr>
          <w:lang w:val="en-US"/>
        </w:rPr>
      </w:pPr>
      <w:proofErr w:type="gramStart"/>
      <w:r w:rsidRPr="001F2C5C">
        <w:rPr>
          <w:lang w:val="en-US"/>
        </w:rPr>
        <w:t>In particular, we</w:t>
      </w:r>
      <w:proofErr w:type="gramEnd"/>
      <w:r w:rsidRPr="001F2C5C">
        <w:rPr>
          <w:lang w:val="en-US"/>
        </w:rPr>
        <w:t xml:space="preserve"> recommend that the </w:t>
      </w:r>
      <w:r w:rsidRPr="001F2C5C">
        <w:rPr>
          <w:rStyle w:val="Fuerte"/>
          <w:lang w:val="en-US"/>
        </w:rPr>
        <w:t>Working Group on Effective Treaty Implementation</w:t>
      </w:r>
      <w:r w:rsidRPr="001F2C5C">
        <w:rPr>
          <w:lang w:val="en-US"/>
        </w:rPr>
        <w:t xml:space="preserve"> consider examining the synergies between the ATT and the Global Framework, with the aim of identifying good practices and concrete measures that States can incorporate into their national control systems.</w:t>
      </w:r>
    </w:p>
    <w:p w14:paraId="5A3E6ED0" w14:textId="77777777" w:rsidR="00FE1E65" w:rsidRPr="001F2C5C" w:rsidRDefault="00FE1E65" w:rsidP="001F2C5C">
      <w:pPr>
        <w:pStyle w:val="isselectedend"/>
        <w:jc w:val="both"/>
        <w:rPr>
          <w:lang w:val="en-US"/>
        </w:rPr>
      </w:pPr>
      <w:r w:rsidRPr="001F2C5C">
        <w:rPr>
          <w:lang w:val="en-US"/>
        </w:rPr>
        <w:t xml:space="preserve">Such an exchange would help address a fundamental question: </w:t>
      </w:r>
      <w:r w:rsidRPr="001F2C5C">
        <w:rPr>
          <w:rStyle w:val="Fuerte"/>
          <w:lang w:val="en-US"/>
        </w:rPr>
        <w:t>how to ensure that the control of a transfer does not end at the point of delivery, but forms part of an integrated system of management, security, traceability and diversion prevention throughout the entire life cycle of ammunition.</w:t>
      </w:r>
    </w:p>
    <w:p w14:paraId="282E043F" w14:textId="77777777" w:rsidR="00FE1E65" w:rsidRDefault="00FE1E65" w:rsidP="001F2C5C">
      <w:pPr>
        <w:pStyle w:val="NormalWeb"/>
        <w:jc w:val="both"/>
      </w:pPr>
      <w:proofErr w:type="spellStart"/>
      <w:r>
        <w:t>Thank</w:t>
      </w:r>
      <w:proofErr w:type="spellEnd"/>
      <w:r>
        <w:t xml:space="preserve"> </w:t>
      </w:r>
      <w:proofErr w:type="spellStart"/>
      <w:r>
        <w:t>you</w:t>
      </w:r>
      <w:proofErr w:type="spellEnd"/>
      <w:r>
        <w:t>.</w:t>
      </w:r>
    </w:p>
    <w:p w14:paraId="31CBB9A7" w14:textId="77777777" w:rsidR="00FE1E65" w:rsidRPr="008A4807" w:rsidRDefault="00FE1E65" w:rsidP="001F2C5C">
      <w:pPr>
        <w:jc w:val="both"/>
        <w:rPr>
          <w:lang w:val="en-US"/>
        </w:rPr>
      </w:pPr>
    </w:p>
    <w:sectPr w:rsidR="00FE1E65" w:rsidRPr="008A4807">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898"/>
    <w:rsid w:val="001F2C5C"/>
    <w:rsid w:val="00417898"/>
    <w:rsid w:val="005D63B3"/>
    <w:rsid w:val="0068772E"/>
    <w:rsid w:val="006A2F39"/>
    <w:rsid w:val="008A4807"/>
    <w:rsid w:val="00A760A7"/>
    <w:rsid w:val="00D53174"/>
    <w:rsid w:val="00E16E0D"/>
    <w:rsid w:val="00EF2BD1"/>
    <w:rsid w:val="00FE1E6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ecimalSymbol w:val=","/>
  <w:listSeparator w:val=";"/>
  <w14:docId w14:val="515B5B29"/>
  <w15:chartTrackingRefBased/>
  <w15:docId w15:val="{3A2CB681-804E-094C-BAAF-B15759D12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4807"/>
  </w:style>
  <w:style w:type="paragraph" w:styleId="Ttulo1">
    <w:name w:val="heading 1"/>
    <w:basedOn w:val="Normal"/>
    <w:next w:val="Normal"/>
    <w:link w:val="Ttulo1Car"/>
    <w:uiPriority w:val="9"/>
    <w:qFormat/>
    <w:rsid w:val="0041789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4178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417898"/>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417898"/>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417898"/>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417898"/>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417898"/>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417898"/>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417898"/>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17898"/>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417898"/>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417898"/>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417898"/>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417898"/>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41789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41789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41789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417898"/>
    <w:rPr>
      <w:rFonts w:eastAsiaTheme="majorEastAsia" w:cstheme="majorBidi"/>
      <w:color w:val="272727" w:themeColor="text1" w:themeTint="D8"/>
    </w:rPr>
  </w:style>
  <w:style w:type="paragraph" w:styleId="Ttulo">
    <w:name w:val="Title"/>
    <w:basedOn w:val="Normal"/>
    <w:next w:val="Normal"/>
    <w:link w:val="TtuloCar"/>
    <w:uiPriority w:val="10"/>
    <w:qFormat/>
    <w:rsid w:val="004178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41789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417898"/>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41789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417898"/>
    <w:pPr>
      <w:spacing w:before="160"/>
      <w:jc w:val="center"/>
    </w:pPr>
    <w:rPr>
      <w:i/>
      <w:iCs/>
      <w:color w:val="404040" w:themeColor="text1" w:themeTint="BF"/>
    </w:rPr>
  </w:style>
  <w:style w:type="character" w:customStyle="1" w:styleId="CitaCar">
    <w:name w:val="Cita Car"/>
    <w:basedOn w:val="Fuentedeprrafopredeter"/>
    <w:link w:val="Cita"/>
    <w:uiPriority w:val="29"/>
    <w:rsid w:val="00417898"/>
    <w:rPr>
      <w:i/>
      <w:iCs/>
      <w:color w:val="404040" w:themeColor="text1" w:themeTint="BF"/>
    </w:rPr>
  </w:style>
  <w:style w:type="paragraph" w:styleId="Prrafodelista">
    <w:name w:val="List Paragraph"/>
    <w:basedOn w:val="Normal"/>
    <w:uiPriority w:val="34"/>
    <w:qFormat/>
    <w:rsid w:val="00417898"/>
    <w:pPr>
      <w:ind w:left="720"/>
      <w:contextualSpacing/>
    </w:pPr>
  </w:style>
  <w:style w:type="character" w:styleId="nfasisintenso">
    <w:name w:val="Intense Emphasis"/>
    <w:basedOn w:val="Fuentedeprrafopredeter"/>
    <w:uiPriority w:val="21"/>
    <w:qFormat/>
    <w:rsid w:val="00417898"/>
    <w:rPr>
      <w:i/>
      <w:iCs/>
      <w:color w:val="0F4761" w:themeColor="accent1" w:themeShade="BF"/>
    </w:rPr>
  </w:style>
  <w:style w:type="paragraph" w:styleId="Citadestacada">
    <w:name w:val="Intense Quote"/>
    <w:basedOn w:val="Normal"/>
    <w:next w:val="Normal"/>
    <w:link w:val="CitadestacadaCar"/>
    <w:uiPriority w:val="30"/>
    <w:qFormat/>
    <w:rsid w:val="004178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417898"/>
    <w:rPr>
      <w:i/>
      <w:iCs/>
      <w:color w:val="0F4761" w:themeColor="accent1" w:themeShade="BF"/>
    </w:rPr>
  </w:style>
  <w:style w:type="character" w:styleId="Referenciaintensa">
    <w:name w:val="Intense Reference"/>
    <w:basedOn w:val="Fuentedeprrafopredeter"/>
    <w:uiPriority w:val="32"/>
    <w:qFormat/>
    <w:rsid w:val="00417898"/>
    <w:rPr>
      <w:b/>
      <w:bCs/>
      <w:smallCaps/>
      <w:color w:val="0F4761" w:themeColor="accent1" w:themeShade="BF"/>
      <w:spacing w:val="5"/>
    </w:rPr>
  </w:style>
  <w:style w:type="paragraph" w:customStyle="1" w:styleId="isselectedend">
    <w:name w:val="isselectedend"/>
    <w:basedOn w:val="Normal"/>
    <w:rsid w:val="00FE1E65"/>
    <w:pPr>
      <w:spacing w:before="100" w:beforeAutospacing="1" w:after="100" w:afterAutospacing="1" w:line="240" w:lineRule="auto"/>
    </w:pPr>
    <w:rPr>
      <w:rFonts w:ascii="Times New Roman" w:eastAsia="Times New Roman" w:hAnsi="Times New Roman" w:cs="Times New Roman"/>
      <w:kern w:val="0"/>
      <w:lang w:eastAsia="es-MX"/>
      <w14:ligatures w14:val="none"/>
    </w:rPr>
  </w:style>
  <w:style w:type="character" w:styleId="Fuerte">
    <w:name w:val="Strong"/>
    <w:basedOn w:val="Fuentedeprrafopredeter"/>
    <w:uiPriority w:val="22"/>
    <w:qFormat/>
    <w:rsid w:val="00FE1E65"/>
    <w:rPr>
      <w:b/>
      <w:bCs/>
    </w:rPr>
  </w:style>
  <w:style w:type="paragraph" w:styleId="NormalWeb">
    <w:name w:val="Normal (Web)"/>
    <w:basedOn w:val="Normal"/>
    <w:uiPriority w:val="99"/>
    <w:semiHidden/>
    <w:unhideWhenUsed/>
    <w:rsid w:val="00FE1E65"/>
    <w:pPr>
      <w:spacing w:before="100" w:beforeAutospacing="1" w:after="100" w:afterAutospacing="1" w:line="240" w:lineRule="auto"/>
    </w:pPr>
    <w:rPr>
      <w:rFonts w:ascii="Times New Roman" w:eastAsia="Times New Roman" w:hAnsi="Times New Roman" w:cs="Times New Roman"/>
      <w:kern w:val="0"/>
      <w:lang w:eastAsia="es-MX"/>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730</Words>
  <Characters>4015</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pia devoto</dc:creator>
  <cp:keywords/>
  <dc:description/>
  <cp:lastModifiedBy>maria pia devoto</cp:lastModifiedBy>
  <cp:revision>4</cp:revision>
  <dcterms:created xsi:type="dcterms:W3CDTF">2026-08-23T17:25:00Z</dcterms:created>
  <dcterms:modified xsi:type="dcterms:W3CDTF">2026-08-23T17:57:00Z</dcterms:modified>
</cp:coreProperties>
</file>