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2E9CA" w14:textId="77777777" w:rsidR="0011258E" w:rsidRDefault="0011258E">
      <w:pPr>
        <w:jc w:val="both"/>
        <w:rPr>
          <w:b/>
          <w:bCs/>
          <w:highlight w:val="white"/>
        </w:rPr>
      </w:pPr>
    </w:p>
    <w:p w14:paraId="738FEDA8" w14:textId="77777777" w:rsidR="0011258E" w:rsidRDefault="0011258E">
      <w:pPr>
        <w:jc w:val="both"/>
        <w:rPr>
          <w:b/>
          <w:bCs/>
          <w:highlight w:val="white"/>
        </w:rPr>
      </w:pPr>
    </w:p>
    <w:p w14:paraId="0396DB4F" w14:textId="647D8A42" w:rsidR="00452184" w:rsidRDefault="00DD08C6" w:rsidP="00452184">
      <w:pPr>
        <w:jc w:val="right"/>
        <w:rPr>
          <w:b/>
          <w:bCs/>
          <w:highlight w:val="white"/>
        </w:rPr>
      </w:pPr>
      <w:r>
        <w:rPr>
          <w:b/>
          <w:bCs/>
          <w:highlight w:val="white"/>
        </w:rPr>
        <w:t>Concept Note</w:t>
      </w:r>
    </w:p>
    <w:p w14:paraId="067701DA" w14:textId="77777777" w:rsidR="00452184" w:rsidRDefault="00452184">
      <w:pPr>
        <w:jc w:val="both"/>
        <w:rPr>
          <w:b/>
          <w:bCs/>
          <w:highlight w:val="white"/>
        </w:rPr>
      </w:pPr>
    </w:p>
    <w:p w14:paraId="739D28DC" w14:textId="499F1679" w:rsidR="0011258E" w:rsidRDefault="00DD08C6" w:rsidP="00452184">
      <w:pPr>
        <w:jc w:val="center"/>
        <w:rPr>
          <w:b/>
          <w:bCs/>
          <w:highlight w:val="white"/>
        </w:rPr>
      </w:pPr>
      <w:r>
        <w:rPr>
          <w:b/>
          <w:bCs/>
          <w:highlight w:val="white"/>
        </w:rPr>
        <w:t>“Log On, Step Up: Launching the ATT's First Online Course on Article 7(4)”</w:t>
      </w:r>
    </w:p>
    <w:p w14:paraId="30DA2671" w14:textId="77777777" w:rsidR="00452184" w:rsidRDefault="00452184" w:rsidP="00452184">
      <w:pPr>
        <w:jc w:val="center"/>
        <w:rPr>
          <w:b/>
          <w:bCs/>
          <w:highlight w:val="white"/>
        </w:rPr>
      </w:pPr>
    </w:p>
    <w:p w14:paraId="6F35703D" w14:textId="389B86E1" w:rsidR="0011258E" w:rsidRPr="00452184" w:rsidRDefault="00452184" w:rsidP="00452184">
      <w:pPr>
        <w:jc w:val="center"/>
        <w:rPr>
          <w:b/>
          <w:bCs/>
          <w:highlight w:val="white"/>
        </w:rPr>
      </w:pPr>
      <w:r w:rsidRPr="00452184">
        <w:rPr>
          <w:b/>
          <w:bCs/>
          <w:highlight w:val="white"/>
        </w:rPr>
        <w:t>A Side</w:t>
      </w:r>
      <w:r>
        <w:rPr>
          <w:b/>
          <w:bCs/>
          <w:highlight w:val="white"/>
        </w:rPr>
        <w:t>-</w:t>
      </w:r>
      <w:r w:rsidRPr="00452184">
        <w:rPr>
          <w:b/>
          <w:bCs/>
          <w:highlight w:val="white"/>
        </w:rPr>
        <w:t>event in the margins of the ATT CSP12</w:t>
      </w:r>
    </w:p>
    <w:p w14:paraId="20ADE10B" w14:textId="77777777" w:rsidR="00452184" w:rsidRDefault="00452184" w:rsidP="00452184">
      <w:pPr>
        <w:jc w:val="center"/>
        <w:rPr>
          <w:highlight w:val="white"/>
        </w:rPr>
      </w:pPr>
    </w:p>
    <w:p w14:paraId="0C00F521" w14:textId="3C018090" w:rsidR="0011258E" w:rsidRPr="00452184" w:rsidRDefault="00DD08C6" w:rsidP="00452184">
      <w:pPr>
        <w:jc w:val="center"/>
        <w:rPr>
          <w:i/>
          <w:iCs/>
          <w:highlight w:val="white"/>
        </w:rPr>
      </w:pPr>
      <w:r w:rsidRPr="00452184">
        <w:rPr>
          <w:i/>
          <w:iCs/>
          <w:highlight w:val="white"/>
        </w:rPr>
        <w:t>Wednesday</w:t>
      </w:r>
      <w:r w:rsidR="00452184" w:rsidRPr="00452184">
        <w:rPr>
          <w:i/>
          <w:iCs/>
          <w:highlight w:val="white"/>
        </w:rPr>
        <w:t>,</w:t>
      </w:r>
      <w:r w:rsidRPr="00452184">
        <w:rPr>
          <w:i/>
          <w:iCs/>
          <w:highlight w:val="white"/>
        </w:rPr>
        <w:t xml:space="preserve"> 26 August</w:t>
      </w:r>
      <w:r w:rsidR="00452184" w:rsidRPr="00452184">
        <w:rPr>
          <w:i/>
          <w:iCs/>
          <w:highlight w:val="white"/>
        </w:rPr>
        <w:t xml:space="preserve"> </w:t>
      </w:r>
      <w:r w:rsidRPr="00452184">
        <w:rPr>
          <w:i/>
          <w:iCs/>
          <w:highlight w:val="white"/>
        </w:rPr>
        <w:t>at 1:</w:t>
      </w:r>
      <w:r w:rsidR="00452184" w:rsidRPr="00452184">
        <w:rPr>
          <w:i/>
          <w:iCs/>
          <w:highlight w:val="white"/>
        </w:rPr>
        <w:t>0</w:t>
      </w:r>
      <w:r w:rsidRPr="00452184">
        <w:rPr>
          <w:i/>
          <w:iCs/>
          <w:highlight w:val="white"/>
        </w:rPr>
        <w:t>0pm</w:t>
      </w:r>
      <w:r w:rsidR="00452184" w:rsidRPr="00452184">
        <w:rPr>
          <w:i/>
          <w:iCs/>
          <w:highlight w:val="white"/>
        </w:rPr>
        <w:t>, CICG, Room E</w:t>
      </w:r>
    </w:p>
    <w:p w14:paraId="1BC89B14" w14:textId="3AC7DA44" w:rsidR="0011258E" w:rsidRPr="00452184" w:rsidRDefault="00452184" w:rsidP="00452184">
      <w:pPr>
        <w:jc w:val="center"/>
        <w:rPr>
          <w:i/>
          <w:iCs/>
          <w:highlight w:val="white"/>
        </w:rPr>
      </w:pPr>
      <w:r w:rsidRPr="00452184">
        <w:rPr>
          <w:i/>
          <w:iCs/>
          <w:highlight w:val="white"/>
        </w:rPr>
        <w:t>Hosted by the</w:t>
      </w:r>
      <w:r w:rsidR="00DD08C6" w:rsidRPr="00452184">
        <w:rPr>
          <w:i/>
          <w:iCs/>
          <w:highlight w:val="white"/>
        </w:rPr>
        <w:t xml:space="preserve"> Permanent Mission of Latvia and Control Arms</w:t>
      </w:r>
    </w:p>
    <w:p w14:paraId="79F2088E" w14:textId="77777777" w:rsidR="0011258E" w:rsidRDefault="0011258E">
      <w:pPr>
        <w:jc w:val="both"/>
        <w:rPr>
          <w:highlight w:val="white"/>
        </w:rPr>
      </w:pPr>
    </w:p>
    <w:p w14:paraId="553F3BED" w14:textId="00F9959D" w:rsidR="0011258E" w:rsidRDefault="00DD08C6">
      <w:pPr>
        <w:jc w:val="both"/>
        <w:rPr>
          <w:highlight w:val="white"/>
        </w:rPr>
      </w:pPr>
      <w:r>
        <w:rPr>
          <w:b/>
          <w:bCs/>
          <w:highlight w:val="white"/>
        </w:rPr>
        <w:t>Objectives:</w:t>
      </w:r>
      <w:r>
        <w:rPr>
          <w:highlight w:val="white"/>
        </w:rPr>
        <w:t xml:space="preserve"> Th</w:t>
      </w:r>
      <w:r w:rsidR="0037103F">
        <w:rPr>
          <w:highlight w:val="white"/>
        </w:rPr>
        <w:t>e</w:t>
      </w:r>
      <w:r>
        <w:rPr>
          <w:highlight w:val="white"/>
        </w:rPr>
        <w:t xml:space="preserve"> event will launch the new online course on Article 7 of the Arms Trade Treaty (ATT), hosted by UNODA and available in Arabic, English, French, and Spanish. Th</w:t>
      </w:r>
      <w:r w:rsidR="0037103F">
        <w:rPr>
          <w:highlight w:val="white"/>
        </w:rPr>
        <w:t>e online training</w:t>
      </w:r>
      <w:r>
        <w:rPr>
          <w:highlight w:val="white"/>
        </w:rPr>
        <w:t xml:space="preserve"> course is the result of support from the ATT’s Voluntary Trust Fund and collaboration between the Permanent Mission of Latvia and Control Arms.</w:t>
      </w:r>
    </w:p>
    <w:p w14:paraId="75EAD52D" w14:textId="77777777" w:rsidR="0011258E" w:rsidRDefault="0011258E">
      <w:pPr>
        <w:jc w:val="both"/>
        <w:rPr>
          <w:highlight w:val="white"/>
        </w:rPr>
      </w:pPr>
    </w:p>
    <w:p w14:paraId="460B585E" w14:textId="77777777" w:rsidR="0037103F" w:rsidRDefault="00DD08C6" w:rsidP="0037103F">
      <w:pPr>
        <w:jc w:val="both"/>
        <w:rPr>
          <w:highlight w:val="white"/>
        </w:rPr>
      </w:pPr>
      <w:r>
        <w:rPr>
          <w:highlight w:val="white"/>
        </w:rPr>
        <w:t>The discussion will explore the purpose and value of the course, with a particular focus on Article 7(4)</w:t>
      </w:r>
      <w:r w:rsidR="0037103F">
        <w:rPr>
          <w:highlight w:val="white"/>
        </w:rPr>
        <w:t xml:space="preserve"> of the ATT</w:t>
      </w:r>
      <w:r>
        <w:rPr>
          <w:highlight w:val="white"/>
        </w:rPr>
        <w:t xml:space="preserve">, which requires States Parties to consider the risk of conventional arms being used to commit or facilitate serious acts of gender-based violence when assessing export authorizations. </w:t>
      </w:r>
    </w:p>
    <w:p w14:paraId="792D93E6" w14:textId="77777777" w:rsidR="0037103F" w:rsidRDefault="0037103F" w:rsidP="0037103F">
      <w:pPr>
        <w:jc w:val="both"/>
        <w:rPr>
          <w:highlight w:val="white"/>
        </w:rPr>
      </w:pPr>
    </w:p>
    <w:p w14:paraId="608DBD4A" w14:textId="77777777" w:rsidR="0037103F" w:rsidRDefault="00DD08C6" w:rsidP="0037103F">
      <w:pPr>
        <w:jc w:val="both"/>
      </w:pPr>
      <w:r>
        <w:rPr>
          <w:highlight w:val="white"/>
        </w:rPr>
        <w:t xml:space="preserve">Panelists will share </w:t>
      </w:r>
      <w:r w:rsidR="0037103F">
        <w:rPr>
          <w:highlight w:val="white"/>
        </w:rPr>
        <w:t xml:space="preserve">their </w:t>
      </w:r>
      <w:r>
        <w:rPr>
          <w:highlight w:val="white"/>
        </w:rPr>
        <w:t>experiences from countries affected by gender-based violence facilitated by conventional weapons, highlight challenges and gaps in the implementation of Article 7(4), and discuss practical measures to strengthen implementation and support compliance with these important obligations.</w:t>
      </w:r>
      <w:r w:rsidR="0037103F">
        <w:t xml:space="preserve"> </w:t>
      </w:r>
    </w:p>
    <w:p w14:paraId="79892624" w14:textId="77777777" w:rsidR="0037103F" w:rsidRDefault="0037103F" w:rsidP="0037103F">
      <w:pPr>
        <w:jc w:val="both"/>
      </w:pPr>
    </w:p>
    <w:p w14:paraId="61949B74" w14:textId="38A3A8A2" w:rsidR="0037103F" w:rsidRDefault="0037103F" w:rsidP="0037103F">
      <w:pPr>
        <w:jc w:val="both"/>
      </w:pPr>
      <w:r>
        <w:t>Video of online course developed and hosted by UNODA will be played.</w:t>
      </w:r>
    </w:p>
    <w:p w14:paraId="4D0116A2" w14:textId="1D1C9ED7" w:rsidR="0011258E" w:rsidRDefault="0011258E">
      <w:pPr>
        <w:jc w:val="both"/>
        <w:rPr>
          <w:highlight w:val="white"/>
        </w:rPr>
      </w:pPr>
    </w:p>
    <w:p w14:paraId="28793298" w14:textId="77777777" w:rsidR="0011258E" w:rsidRDefault="00DD08C6">
      <w:pPr>
        <w:jc w:val="both"/>
        <w:rPr>
          <w:b/>
          <w:bCs/>
        </w:rPr>
      </w:pPr>
      <w:r>
        <w:rPr>
          <w:b/>
          <w:bCs/>
        </w:rPr>
        <w:t>Moderator</w:t>
      </w:r>
    </w:p>
    <w:p w14:paraId="4C96B939" w14:textId="48DAD85C" w:rsidR="0011258E" w:rsidRDefault="00452184">
      <w:pPr>
        <w:jc w:val="both"/>
      </w:pPr>
      <w:r>
        <w:t xml:space="preserve">H.E. </w:t>
      </w:r>
      <w:r w:rsidR="00DD08C6">
        <w:t xml:space="preserve">Ambassador </w:t>
      </w:r>
      <w:proofErr w:type="spellStart"/>
      <w:r w:rsidRPr="0037103F">
        <w:t>Mr</w:t>
      </w:r>
      <w:proofErr w:type="spellEnd"/>
      <w:r>
        <w:t xml:space="preserve"> </w:t>
      </w:r>
      <w:r w:rsidR="00DD08C6" w:rsidRPr="00452184">
        <w:rPr>
          <w:b/>
          <w:bCs/>
        </w:rPr>
        <w:t>Ivars Pundurs</w:t>
      </w:r>
      <w:r w:rsidR="00DD08C6">
        <w:t>, Permanent Mission of Latvia</w:t>
      </w:r>
    </w:p>
    <w:p w14:paraId="4D4CAEE6" w14:textId="77777777" w:rsidR="0011258E" w:rsidRDefault="0011258E">
      <w:pPr>
        <w:jc w:val="both"/>
      </w:pPr>
    </w:p>
    <w:p w14:paraId="11DE9CAD" w14:textId="77777777" w:rsidR="0011258E" w:rsidRPr="00D818AC" w:rsidRDefault="00DD08C6">
      <w:pPr>
        <w:jc w:val="both"/>
        <w:rPr>
          <w:b/>
          <w:bCs/>
        </w:rPr>
      </w:pPr>
      <w:r w:rsidRPr="00D818AC">
        <w:rPr>
          <w:b/>
          <w:bCs/>
        </w:rPr>
        <w:t>Panelists</w:t>
      </w:r>
    </w:p>
    <w:p w14:paraId="6FB53334" w14:textId="77777777" w:rsidR="00D818AC" w:rsidRPr="00D818AC" w:rsidRDefault="00D818AC" w:rsidP="00D818AC">
      <w:pPr>
        <w:jc w:val="both"/>
      </w:pPr>
      <w:bookmarkStart w:id="0" w:name="_Hlk236226911"/>
      <w:r w:rsidRPr="00D818AC">
        <w:t xml:space="preserve">Ms </w:t>
      </w:r>
      <w:r w:rsidRPr="00D818AC">
        <w:rPr>
          <w:b/>
          <w:bCs/>
        </w:rPr>
        <w:t>Hine-Wai Loose</w:t>
      </w:r>
      <w:r w:rsidRPr="00D818AC">
        <w:t xml:space="preserve">, Director, Control Arms </w:t>
      </w:r>
    </w:p>
    <w:p w14:paraId="157A52B2" w14:textId="77777777" w:rsidR="00D818AC" w:rsidRPr="00D818AC" w:rsidRDefault="00D818AC" w:rsidP="00D818AC">
      <w:pPr>
        <w:spacing w:before="240" w:after="240"/>
        <w:jc w:val="both"/>
      </w:pPr>
      <w:r w:rsidRPr="00D818AC">
        <w:t>Being the implementing partner for the Voluntary Trust Fund (VTF) project, the panelist will explain the rationale for developing an online course on ATT Article 7, and why it had been important to develop a dedicated, in-depth module on Article 7(4).</w:t>
      </w:r>
    </w:p>
    <w:p w14:paraId="4235E535" w14:textId="77777777" w:rsidR="00D818AC" w:rsidRDefault="0037103F" w:rsidP="004C14C0">
      <w:pPr>
        <w:spacing w:after="240" w:line="240" w:lineRule="auto"/>
        <w:jc w:val="both"/>
      </w:pPr>
      <w:r w:rsidRPr="00D818AC">
        <w:lastRenderedPageBreak/>
        <w:t xml:space="preserve">Ms </w:t>
      </w:r>
      <w:r w:rsidR="00DD08C6" w:rsidRPr="00D818AC">
        <w:rPr>
          <w:b/>
          <w:bCs/>
        </w:rPr>
        <w:t>Ximena Sotres Brito</w:t>
      </w:r>
      <w:r w:rsidR="00DD08C6" w:rsidRPr="00D818AC">
        <w:t>, Second Secretary, Permanent Mission of Mexico, ATT Gender Focal Point</w:t>
      </w:r>
      <w:r w:rsidRPr="00D818AC">
        <w:t>.</w:t>
      </w:r>
    </w:p>
    <w:p w14:paraId="722BE0CD" w14:textId="17AC25E1" w:rsidR="0037103F" w:rsidRPr="00D818AC" w:rsidRDefault="0037103F" w:rsidP="004C14C0">
      <w:pPr>
        <w:spacing w:after="240" w:line="240" w:lineRule="auto"/>
        <w:jc w:val="both"/>
      </w:pPr>
      <w:r w:rsidRPr="00D818AC">
        <w:t xml:space="preserve">The </w:t>
      </w:r>
      <w:r w:rsidR="004C14C0" w:rsidRPr="00D818AC">
        <w:t xml:space="preserve">panelist will share their one-year experience of the Gender Focal Point </w:t>
      </w:r>
      <w:r w:rsidRPr="00D818AC">
        <w:t>initiative</w:t>
      </w:r>
      <w:r w:rsidR="004C14C0" w:rsidRPr="00D818AC">
        <w:t>, including the knowledge gathered t</w:t>
      </w:r>
      <w:r w:rsidRPr="00D818AC">
        <w:t>hrough consultations on the Gender Focal Points' work plan</w:t>
      </w:r>
      <w:r w:rsidR="004C14C0" w:rsidRPr="00D818AC">
        <w:t xml:space="preserve"> in </w:t>
      </w:r>
      <w:r w:rsidRPr="00D818AC">
        <w:t>implementing Article 7(4)</w:t>
      </w:r>
      <w:r w:rsidR="004C14C0" w:rsidRPr="00D818AC">
        <w:t xml:space="preserve">, the </w:t>
      </w:r>
      <w:r w:rsidRPr="00D818AC">
        <w:t xml:space="preserve">challenges </w:t>
      </w:r>
      <w:r w:rsidR="004C14C0" w:rsidRPr="00D818AC">
        <w:t xml:space="preserve">faced, the way forward, including the contribution to the </w:t>
      </w:r>
      <w:r w:rsidRPr="00D818AC">
        <w:t xml:space="preserve">ATT </w:t>
      </w:r>
      <w:r w:rsidR="004C14C0" w:rsidRPr="00D818AC">
        <w:t xml:space="preserve">5 years </w:t>
      </w:r>
      <w:r w:rsidRPr="00D818AC">
        <w:t>Strategy</w:t>
      </w:r>
      <w:r w:rsidR="004C14C0" w:rsidRPr="00D818AC">
        <w:t>.</w:t>
      </w:r>
    </w:p>
    <w:p w14:paraId="41671187" w14:textId="70D26CCF" w:rsidR="0011258E" w:rsidRPr="00D818AC" w:rsidRDefault="0037103F">
      <w:pPr>
        <w:jc w:val="both"/>
      </w:pPr>
      <w:proofErr w:type="spellStart"/>
      <w:r w:rsidRPr="00D818AC">
        <w:t>Mr</w:t>
      </w:r>
      <w:proofErr w:type="spellEnd"/>
      <w:r w:rsidRPr="00D818AC">
        <w:t xml:space="preserve"> </w:t>
      </w:r>
      <w:r w:rsidR="00DD08C6" w:rsidRPr="00D818AC">
        <w:rPr>
          <w:b/>
          <w:bCs/>
        </w:rPr>
        <w:t>Callum Watson</w:t>
      </w:r>
      <w:r w:rsidR="00DD08C6" w:rsidRPr="00D818AC">
        <w:t>, Gender Coordinator, Small Arms Survey</w:t>
      </w:r>
    </w:p>
    <w:p w14:paraId="2B98E8B7" w14:textId="77777777" w:rsidR="00D818AC" w:rsidRDefault="00D818AC">
      <w:pPr>
        <w:jc w:val="both"/>
      </w:pPr>
    </w:p>
    <w:p w14:paraId="604A81D6" w14:textId="10C3336F" w:rsidR="004C14C0" w:rsidRDefault="004C14C0">
      <w:pPr>
        <w:jc w:val="both"/>
      </w:pPr>
      <w:r w:rsidRPr="00D818AC">
        <w:t xml:space="preserve">The panelist will summarize the discussion </w:t>
      </w:r>
      <w:r w:rsidR="00DD08C6" w:rsidRPr="00D818AC">
        <w:t>by indicating the</w:t>
      </w:r>
      <w:r w:rsidRPr="00D818AC">
        <w:t xml:space="preserve"> key takeaways from the discussion and reflections on priorities for strengthening implementation of Article 7(4). </w:t>
      </w:r>
      <w:r w:rsidR="00DD08C6" w:rsidRPr="00D818AC">
        <w:t>He will develop on how</w:t>
      </w:r>
      <w:r w:rsidRPr="00D818AC">
        <w:t xml:space="preserve"> courses </w:t>
      </w:r>
      <w:r w:rsidR="00DD08C6" w:rsidRPr="00D818AC">
        <w:t>of this type</w:t>
      </w:r>
      <w:r w:rsidRPr="00D818AC">
        <w:t xml:space="preserve"> be useful in translating the ATT to the regional, national and local level</w:t>
      </w:r>
      <w:r w:rsidR="00DD08C6" w:rsidRPr="00D818AC">
        <w:t>.</w:t>
      </w:r>
    </w:p>
    <w:p w14:paraId="2A184003" w14:textId="77777777" w:rsidR="0011258E" w:rsidRDefault="0011258E">
      <w:pPr>
        <w:jc w:val="both"/>
      </w:pPr>
    </w:p>
    <w:bookmarkEnd w:id="0"/>
    <w:p w14:paraId="4444C271" w14:textId="77777777" w:rsidR="00D818AC" w:rsidRPr="00D818AC" w:rsidRDefault="00D818AC" w:rsidP="00D818AC">
      <w:pPr>
        <w:jc w:val="both"/>
        <w:rPr>
          <w:i/>
          <w:iCs/>
        </w:rPr>
      </w:pPr>
      <w:r w:rsidRPr="00D818AC">
        <w:t xml:space="preserve">Ms </w:t>
      </w:r>
      <w:r w:rsidRPr="00D818AC">
        <w:rPr>
          <w:b/>
          <w:bCs/>
        </w:rPr>
        <w:t xml:space="preserve">Jeannette </w:t>
      </w:r>
      <w:proofErr w:type="spellStart"/>
      <w:r w:rsidRPr="00D818AC">
        <w:rPr>
          <w:b/>
          <w:bCs/>
        </w:rPr>
        <w:t>Uwizeye</w:t>
      </w:r>
      <w:proofErr w:type="spellEnd"/>
      <w:r w:rsidRPr="00D818AC">
        <w:t xml:space="preserve">, Executive Director, Fellowship of Christian Councils and Churches in the Great Lakes and Horn of Africa (FECCLAHA). </w:t>
      </w:r>
      <w:r w:rsidRPr="00D818AC">
        <w:rPr>
          <w:i/>
          <w:iCs/>
        </w:rPr>
        <w:t>FECCLAHA works to prevent gender-based violence (GBV) and conflict-related sexual violence across 10 countries in East Africa, the Horn of Africa, Burundi, and the Democratic Republic of the Congo.</w:t>
      </w:r>
    </w:p>
    <w:p w14:paraId="278C0773" w14:textId="77777777" w:rsidR="00D818AC" w:rsidRDefault="00D818AC" w:rsidP="00D818AC">
      <w:pPr>
        <w:jc w:val="both"/>
      </w:pPr>
    </w:p>
    <w:p w14:paraId="1CE44703" w14:textId="24248195" w:rsidR="00D818AC" w:rsidRPr="00D818AC" w:rsidRDefault="00D818AC" w:rsidP="00D818AC">
      <w:pPr>
        <w:jc w:val="both"/>
      </w:pPr>
      <w:r w:rsidRPr="00D818AC">
        <w:t>Based on FECCLAHA's experience, the panelist will address the key dynamics linking small arms, armed conflict, and sexual and gender-based violence (SGBV), as well as the issues that States Parties to the ATT should understand about the existing realities when implementing their obligations on GBV, particularly under Article 7(4).</w:t>
      </w:r>
    </w:p>
    <w:p w14:paraId="782EFDFA" w14:textId="77777777" w:rsidR="0011258E" w:rsidRDefault="0011258E">
      <w:pPr>
        <w:jc w:val="both"/>
        <w:rPr>
          <w:i/>
          <w:iCs/>
        </w:rPr>
      </w:pPr>
    </w:p>
    <w:p w14:paraId="4B1C5387" w14:textId="77777777" w:rsidR="0011258E" w:rsidRDefault="0011258E"/>
    <w:sectPr w:rsidR="0011258E">
      <w:head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7D5A9" w14:textId="77777777" w:rsidR="00AC5547" w:rsidRDefault="00AC5547">
      <w:pPr>
        <w:spacing w:line="240" w:lineRule="auto"/>
      </w:pPr>
      <w:r>
        <w:separator/>
      </w:r>
    </w:p>
  </w:endnote>
  <w:endnote w:type="continuationSeparator" w:id="0">
    <w:p w14:paraId="63B339E6" w14:textId="77777777" w:rsidR="00AC5547" w:rsidRDefault="00AC55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32163F7-3EE9-4FE9-AB7F-A737E8072118}"/>
  </w:font>
  <w:font w:name="Cambria">
    <w:panose1 w:val="02040503050406030204"/>
    <w:charset w:val="BA"/>
    <w:family w:val="roman"/>
    <w:pitch w:val="variable"/>
    <w:sig w:usb0="E00006FF" w:usb1="420024FF" w:usb2="02000000" w:usb3="00000000" w:csb0="0000019F" w:csb1="00000000"/>
    <w:embedRegular r:id="rId2" w:fontKey="{1B1DA573-BD08-4FE8-BECB-4B9625F283B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CCA68" w14:textId="77777777" w:rsidR="00AC5547" w:rsidRDefault="00AC5547">
      <w:pPr>
        <w:spacing w:line="240" w:lineRule="auto"/>
      </w:pPr>
      <w:r>
        <w:separator/>
      </w:r>
    </w:p>
  </w:footnote>
  <w:footnote w:type="continuationSeparator" w:id="0">
    <w:p w14:paraId="52060A9E" w14:textId="77777777" w:rsidR="00AC5547" w:rsidRDefault="00AC55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CF183" w14:textId="77777777" w:rsidR="00E879EC" w:rsidRDefault="00E879EC">
    <w:pPr>
      <w:widowControl w:val="0"/>
      <w:spacing w:line="240" w:lineRule="auto"/>
      <w:jc w:val="center"/>
      <w:rPr>
        <w:rFonts w:ascii="Calibri" w:eastAsia="Calibri" w:hAnsi="Calibri" w:cs="Calibri"/>
        <w:noProof/>
      </w:rPr>
    </w:pPr>
    <w:r>
      <w:rPr>
        <w:rFonts w:ascii="Calibri" w:eastAsia="Calibri" w:hAnsi="Calibri" w:cs="Calibri"/>
        <w:noProof/>
      </w:rPr>
      <w:drawing>
        <wp:inline distT="19050" distB="19050" distL="19050" distR="19050" wp14:anchorId="1B55E6E8" wp14:editId="48A03F99">
          <wp:extent cx="2028825" cy="295275"/>
          <wp:effectExtent l="0" t="0" r="9525" b="9525"/>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028825" cy="295275"/>
                  </a:xfrm>
                  <a:prstGeom prst="rect">
                    <a:avLst/>
                  </a:prstGeom>
                  <a:ln/>
                </pic:spPr>
              </pic:pic>
            </a:graphicData>
          </a:graphic>
        </wp:inline>
      </w:drawing>
    </w:r>
  </w:p>
  <w:p w14:paraId="0E217BF5" w14:textId="31FE0044" w:rsidR="0011258E" w:rsidRDefault="00E879EC">
    <w:pPr>
      <w:widowControl w:val="0"/>
      <w:spacing w:line="240" w:lineRule="auto"/>
      <w:jc w:val="center"/>
    </w:pPr>
    <w:r>
      <w:rPr>
        <w:rFonts w:ascii="Calibri" w:eastAsia="Calibri" w:hAnsi="Calibri" w:cs="Calibri"/>
        <w:noProof/>
      </w:rPr>
      <w:drawing>
        <wp:inline distT="0" distB="0" distL="0" distR="0" wp14:anchorId="0BACADDA" wp14:editId="0A635BC4">
          <wp:extent cx="2171700" cy="14570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901" cy="14646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58E"/>
    <w:rsid w:val="0011258E"/>
    <w:rsid w:val="001F244D"/>
    <w:rsid w:val="0037103F"/>
    <w:rsid w:val="00452184"/>
    <w:rsid w:val="004C14C0"/>
    <w:rsid w:val="005C4931"/>
    <w:rsid w:val="00AC5547"/>
    <w:rsid w:val="00D818AC"/>
    <w:rsid w:val="00DD08C6"/>
    <w:rsid w:val="00E1727B"/>
    <w:rsid w:val="00E27096"/>
    <w:rsid w:val="00E879EC"/>
    <w:rsid w:val="00EF70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60DC2"/>
  <w15:docId w15:val="{FCBEA126-493C-7B43-A07B-C47F73823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452184"/>
    <w:rPr>
      <w:sz w:val="16"/>
      <w:szCs w:val="16"/>
    </w:rPr>
  </w:style>
  <w:style w:type="paragraph" w:styleId="CommentText">
    <w:name w:val="annotation text"/>
    <w:basedOn w:val="Normal"/>
    <w:link w:val="CommentTextChar"/>
    <w:uiPriority w:val="99"/>
    <w:semiHidden/>
    <w:unhideWhenUsed/>
    <w:rsid w:val="00452184"/>
    <w:pPr>
      <w:spacing w:line="240" w:lineRule="auto"/>
    </w:pPr>
    <w:rPr>
      <w:sz w:val="20"/>
      <w:szCs w:val="20"/>
    </w:rPr>
  </w:style>
  <w:style w:type="character" w:customStyle="1" w:styleId="CommentTextChar">
    <w:name w:val="Comment Text Char"/>
    <w:basedOn w:val="DefaultParagraphFont"/>
    <w:link w:val="CommentText"/>
    <w:uiPriority w:val="99"/>
    <w:semiHidden/>
    <w:rsid w:val="00452184"/>
    <w:rPr>
      <w:sz w:val="20"/>
      <w:szCs w:val="20"/>
    </w:rPr>
  </w:style>
  <w:style w:type="paragraph" w:styleId="CommentSubject">
    <w:name w:val="annotation subject"/>
    <w:basedOn w:val="CommentText"/>
    <w:next w:val="CommentText"/>
    <w:link w:val="CommentSubjectChar"/>
    <w:uiPriority w:val="99"/>
    <w:semiHidden/>
    <w:unhideWhenUsed/>
    <w:rsid w:val="00452184"/>
    <w:rPr>
      <w:b/>
      <w:bCs/>
    </w:rPr>
  </w:style>
  <w:style w:type="character" w:customStyle="1" w:styleId="CommentSubjectChar">
    <w:name w:val="Comment Subject Char"/>
    <w:basedOn w:val="CommentTextChar"/>
    <w:link w:val="CommentSubject"/>
    <w:uiPriority w:val="99"/>
    <w:semiHidden/>
    <w:rsid w:val="00452184"/>
    <w:rPr>
      <w:b/>
      <w:bCs/>
      <w:sz w:val="20"/>
      <w:szCs w:val="20"/>
    </w:rPr>
  </w:style>
  <w:style w:type="paragraph" w:styleId="Header">
    <w:name w:val="header"/>
    <w:basedOn w:val="Normal"/>
    <w:link w:val="HeaderChar"/>
    <w:uiPriority w:val="99"/>
    <w:unhideWhenUsed/>
    <w:rsid w:val="00E879EC"/>
    <w:pPr>
      <w:tabs>
        <w:tab w:val="center" w:pos="4153"/>
        <w:tab w:val="right" w:pos="8306"/>
      </w:tabs>
      <w:spacing w:line="240" w:lineRule="auto"/>
    </w:pPr>
  </w:style>
  <w:style w:type="character" w:customStyle="1" w:styleId="HeaderChar">
    <w:name w:val="Header Char"/>
    <w:basedOn w:val="DefaultParagraphFont"/>
    <w:link w:val="Header"/>
    <w:uiPriority w:val="99"/>
    <w:rsid w:val="00E879EC"/>
  </w:style>
  <w:style w:type="paragraph" w:styleId="Footer">
    <w:name w:val="footer"/>
    <w:basedOn w:val="Normal"/>
    <w:link w:val="FooterChar"/>
    <w:uiPriority w:val="99"/>
    <w:unhideWhenUsed/>
    <w:rsid w:val="00E879EC"/>
    <w:pPr>
      <w:tabs>
        <w:tab w:val="center" w:pos="4153"/>
        <w:tab w:val="right" w:pos="8306"/>
      </w:tabs>
      <w:spacing w:line="240" w:lineRule="auto"/>
    </w:pPr>
  </w:style>
  <w:style w:type="character" w:customStyle="1" w:styleId="FooterChar">
    <w:name w:val="Footer Char"/>
    <w:basedOn w:val="DefaultParagraphFont"/>
    <w:link w:val="Footer"/>
    <w:uiPriority w:val="99"/>
    <w:rsid w:val="00E87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1954</Words>
  <Characters>1115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Kaulina-Anselena</dc:creator>
  <cp:lastModifiedBy>Aija Zilite</cp:lastModifiedBy>
  <cp:revision>4</cp:revision>
  <dcterms:created xsi:type="dcterms:W3CDTF">2026-07-27T11:29:00Z</dcterms:created>
  <dcterms:modified xsi:type="dcterms:W3CDTF">2026-07-29T12:51:00Z</dcterms:modified>
</cp:coreProperties>
</file>